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after="80" w:line="247" w:lineRule="auto"/>
        <w:jc w:val="center"/>
      </w:pPr>
      <w:r>
        <w:rPr>
          <w:rFonts w:ascii="Calibri" w:hAnsi="Calibri"/>
          <w:b/>
          <w:color w:val="225870"/>
          <w:sz w:val="36"/>
        </w:rPr>
        <w:t>FOURTH-GENERATION</w:t>
      </w:r>
    </w:p>
    <w:p>
      <w:pPr>
        <w:spacing w:after="80" w:line="247" w:lineRule="auto"/>
        <w:jc w:val="center"/>
      </w:pPr>
      <w:r>
        <w:rPr>
          <w:rFonts w:ascii="Calibri" w:hAnsi="Calibri"/>
          <w:b/>
          <w:color w:val="143755"/>
          <w:sz w:val="50"/>
        </w:rPr>
        <w:t>AI STORAGE APPLIANCE ARCHITECTURE</w:t>
      </w:r>
    </w:p>
    <w:p>
      <w:pPr>
        <w:spacing w:after="80" w:line="247" w:lineRule="auto"/>
        <w:jc w:val="center"/>
      </w:pPr>
      <w:r>
        <w:t>NeuralMesh • PCIe Fabric • Spectrum-X Ethernet • Intelligent Data Mobility • Zero-Trust Protection • Sovereign Private AI Cloud</w:t>
      </w:r>
    </w:p>
    <w:tbl>
      <w:tblPr>
        <w:tblW w:type="auto" w:w="0"/>
        <w:jc w:val="center"/>
        <w:tblLook w:firstColumn="1" w:firstRow="1" w:lastColumn="0" w:lastRow="0" w:noHBand="0" w:noVBand="1" w:val="04A0"/>
      </w:tblPr>
      <w:tblGrid>
        <w:gridCol w:w="10166"/>
      </w:tblGrid>
      <w:tr>
        <w:tc>
          <w:tcPr>
            <w:tcW w:type="dxa" w:w="10166"/>
            <w:shd w:fill="EAF0F5"/>
            <w:tcMar>
              <w:top w:w="220" w:type="dxa"/>
              <w:start w:w="260" w:type="dxa"/>
              <w:bottom w:w="220" w:type="dxa"/>
              <w:end w:w="260" w:type="dxa"/>
            </w:tcMar>
          </w:tcPr>
          <w:p>
            <w:pPr>
              <w:jc w:val="center"/>
            </w:pPr>
            <w:r>
              <w:rPr>
                <w:rFonts w:ascii="Calibri" w:hAnsi="Calibri"/>
                <w:b/>
                <w:color w:val="143755"/>
                <w:sz w:val="22"/>
              </w:rPr>
              <w:t>A rack-scale, GPU-aware storage platform engineered to sustain AI training, inference, RAG and agentic workloads while protecting sensitive information through encryption, MFA, dynamic authorization, tokenization, pseudonymization and data obfuscation.</w:t>
            </w:r>
          </w:p>
        </w:tc>
      </w:tr>
    </w:tbl>
    <w:p>
      <w:pPr>
        <w:spacing w:before="560" w:after="80" w:line="247" w:lineRule="auto"/>
        <w:jc w:val="center"/>
      </w:pPr>
      <w:r>
        <w:rPr>
          <w:rFonts w:ascii="Calibri" w:hAnsi="Calibri"/>
          <w:b/>
          <w:color w:val="646E78"/>
          <w:sz w:val="20"/>
        </w:rPr>
        <w:t>REFERENCE DESIGN DOCUMENT</w:t>
      </w:r>
    </w:p>
    <w:p>
      <w:pPr>
        <w:spacing w:after="80" w:line="247" w:lineRule="auto"/>
        <w:jc w:val="center"/>
      </w:pPr>
      <w:r>
        <w:rPr>
          <w:rFonts w:ascii="Calibri" w:hAnsi="Calibri"/>
          <w:color w:val="646E78"/>
          <w:sz w:val="20"/>
        </w:rPr>
        <w:t>Prepared July 2026</w:t>
      </w:r>
    </w:p>
    <w:p>
      <w:pPr>
        <w:spacing w:after="80" w:line="247" w:lineRule="auto"/>
      </w:pPr>
      <w:r>
        <w:br w:type="page"/>
      </w:r>
    </w:p>
    <w:p>
      <w:pPr>
        <w:pStyle w:val="Heading1"/>
        <w:keepNext/>
        <w:spacing w:before="200" w:after="80"/>
      </w:pPr>
      <w:r>
        <w:rPr>
          <w:rFonts w:ascii="Calibri" w:hAnsi="Calibri"/>
          <w:b/>
          <w:color w:val="143755"/>
          <w:sz w:val="30"/>
        </w:rPr>
        <w:t>Document Purpose</w:t>
      </w:r>
    </w:p>
    <w:p>
      <w:pPr>
        <w:keepNext w:val="0"/>
        <w:spacing w:after="80" w:line="247" w:lineRule="auto"/>
      </w:pPr>
      <w:r>
        <w:t>This document consolidates the architecture, data-path design, intelligent tiering model, cloud integration, resilience controls, embedded zero-trust data-protection algorithm, physical rack and cooling design, performance-optimization roadmap, sovereign private AI cloud architecture, operations control plane and investor positioning for a lightweight fourth-generation AI storage appliance.</w:t>
      </w:r>
    </w:p>
    <w:p>
      <w:pPr>
        <w:pStyle w:val="Heading2"/>
        <w:keepNext/>
        <w:spacing w:before="200" w:after="80"/>
      </w:pPr>
      <w:r>
        <w:rPr>
          <w:rFonts w:ascii="Calibri" w:hAnsi="Calibri"/>
          <w:b/>
          <w:color w:val="225870"/>
          <w:sz w:val="24"/>
        </w:rPr>
        <w:t>Design Objectives</w:t>
      </w:r>
    </w:p>
    <w:p>
      <w:pPr>
        <w:pStyle w:val="ListBullet"/>
        <w:spacing w:after="40" w:line="240" w:lineRule="auto"/>
      </w:pPr>
      <w:r>
        <w:rPr>
          <w:rFonts w:ascii="Calibri" w:hAnsi="Calibri"/>
          <w:sz w:val="21"/>
        </w:rPr>
        <w:t>Feed CPU and GPU clusters with predictable, high-throughput and low-latency access to training and inference datasets.</w:t>
      </w:r>
    </w:p>
    <w:p>
      <w:pPr>
        <w:pStyle w:val="ListBullet"/>
        <w:spacing w:after="40" w:line="240" w:lineRule="auto"/>
      </w:pPr>
      <w:r>
        <w:rPr>
          <w:rFonts w:ascii="Calibri" w:hAnsi="Calibri"/>
          <w:sz w:val="21"/>
        </w:rPr>
        <w:t>Create a unified distributed namespace across high-performance NVMe, dense-capacity flash and cloud-object storage.</w:t>
      </w:r>
    </w:p>
    <w:p>
      <w:pPr>
        <w:pStyle w:val="ListBullet"/>
        <w:spacing w:after="40" w:line="240" w:lineRule="auto"/>
      </w:pPr>
      <w:r>
        <w:rPr>
          <w:rFonts w:ascii="Calibri" w:hAnsi="Calibri"/>
          <w:sz w:val="21"/>
        </w:rPr>
        <w:t>Use workload intelligence to prefetch, promote, demote, compress and protect data without changing application access paths.</w:t>
      </w:r>
    </w:p>
    <w:p>
      <w:pPr>
        <w:pStyle w:val="ListBullet"/>
        <w:spacing w:after="40" w:line="240" w:lineRule="auto"/>
      </w:pPr>
      <w:r>
        <w:rPr>
          <w:rFonts w:ascii="Calibri" w:hAnsi="Calibri"/>
          <w:sz w:val="21"/>
        </w:rPr>
        <w:t>Apply security beyond encryption by incorporating MFA, contextual authorization, data masking, tokenization, pseudonymization and synthetic-data substitution.</w:t>
      </w:r>
    </w:p>
    <w:p>
      <w:pPr>
        <w:pStyle w:val="ListBullet"/>
        <w:spacing w:after="40" w:line="240" w:lineRule="auto"/>
      </w:pPr>
      <w:r>
        <w:rPr>
          <w:rFonts w:ascii="Calibri" w:hAnsi="Calibri"/>
          <w:sz w:val="21"/>
        </w:rPr>
        <w:t>Provide resilient, independently recoverable failure domains with immutable recovery and secure cloud replication.</w:t>
      </w:r>
    </w:p>
    <w:p>
      <w:pPr>
        <w:pStyle w:val="Heading2"/>
        <w:keepNext/>
        <w:spacing w:before="200" w:after="80"/>
      </w:pPr>
      <w:r>
        <w:rPr>
          <w:rFonts w:ascii="Calibri" w:hAnsi="Calibri"/>
          <w:b/>
          <w:color w:val="225870"/>
          <w:sz w:val="24"/>
        </w:rPr>
        <w:t>Contents</w:t>
      </w:r>
    </w:p>
    <w:p>
      <w:pPr>
        <w:keepNext w:val="0"/>
        <w:spacing w:after="80" w:line="247" w:lineRule="auto"/>
      </w:pPr>
      <w:r>
        <w:rPr>
          <w:rFonts w:ascii="Calibri" w:hAnsi="Calibri"/>
          <w:sz w:val="21"/>
        </w:rPr>
        <w:t>1. Architecture vision</w:t>
      </w:r>
    </w:p>
    <w:p>
      <w:pPr>
        <w:keepNext w:val="0"/>
        <w:spacing w:after="80" w:line="247" w:lineRule="auto"/>
      </w:pPr>
      <w:r>
        <w:rPr>
          <w:rFonts w:ascii="Calibri" w:hAnsi="Calibri"/>
          <w:sz w:val="21"/>
        </w:rPr>
        <w:t>2. Logical and physical architecture</w:t>
      </w:r>
    </w:p>
    <w:p>
      <w:pPr>
        <w:keepNext w:val="0"/>
        <w:spacing w:after="80" w:line="247" w:lineRule="auto"/>
      </w:pPr>
      <w:r>
        <w:rPr>
          <w:rFonts w:ascii="Calibri" w:hAnsi="Calibri"/>
          <w:sz w:val="21"/>
        </w:rPr>
        <w:t>3. Technology layers</w:t>
      </w:r>
    </w:p>
    <w:p>
      <w:pPr>
        <w:keepNext w:val="0"/>
        <w:spacing w:after="80" w:line="247" w:lineRule="auto"/>
      </w:pPr>
      <w:r>
        <w:rPr>
          <w:rFonts w:ascii="Calibri" w:hAnsi="Calibri"/>
          <w:sz w:val="21"/>
        </w:rPr>
        <w:t>4. Smart synthetic-intelligence engine</w:t>
      </w:r>
    </w:p>
    <w:p>
      <w:pPr>
        <w:keepNext w:val="0"/>
        <w:spacing w:after="80" w:line="247" w:lineRule="auto"/>
      </w:pPr>
      <w:r>
        <w:rPr>
          <w:rFonts w:ascii="Calibri" w:hAnsi="Calibri"/>
          <w:sz w:val="21"/>
        </w:rPr>
        <w:t>5. Storage hierarchy and data mobility</w:t>
      </w:r>
    </w:p>
    <w:p>
      <w:pPr>
        <w:keepNext w:val="0"/>
        <w:spacing w:after="80" w:line="247" w:lineRule="auto"/>
      </w:pPr>
      <w:r>
        <w:rPr>
          <w:rFonts w:ascii="Calibri" w:hAnsi="Calibri"/>
          <w:sz w:val="21"/>
        </w:rPr>
        <w:t>6. Zero-trust data-protection algorithm</w:t>
      </w:r>
    </w:p>
    <w:p>
      <w:pPr>
        <w:keepNext w:val="0"/>
        <w:spacing w:after="80" w:line="247" w:lineRule="auto"/>
      </w:pPr>
      <w:r>
        <w:rPr>
          <w:rFonts w:ascii="Calibri" w:hAnsi="Calibri"/>
          <w:sz w:val="21"/>
        </w:rPr>
        <w:t>7. Cloud-object security</w:t>
      </w:r>
    </w:p>
    <w:p>
      <w:pPr>
        <w:keepNext w:val="0"/>
        <w:spacing w:after="80" w:line="247" w:lineRule="auto"/>
      </w:pPr>
      <w:r>
        <w:rPr>
          <w:rFonts w:ascii="Calibri" w:hAnsi="Calibri"/>
          <w:sz w:val="21"/>
        </w:rPr>
        <w:t>8. Resilience, operations and performance targets</w:t>
      </w:r>
    </w:p>
    <w:p>
      <w:pPr>
        <w:keepNext w:val="0"/>
        <w:spacing w:after="80" w:line="247" w:lineRule="auto"/>
      </w:pPr>
      <w:r>
        <w:rPr>
          <w:rFonts w:ascii="Calibri" w:hAnsi="Calibri"/>
          <w:sz w:val="21"/>
        </w:rPr>
        <w:t>9. Executive architecture statement</w:t>
      </w:r>
    </w:p>
    <w:p/>
    <w:p/>
    <w:p/>
    <w:p/>
    <w:p/>
    <w:p/>
    <w:p/>
    <w:p/>
    <w:p/>
    <w:p/>
    <w:p/>
    <w:p/>
    <w:p/>
    <w:p>
      <w:pPr>
        <w:pStyle w:val="Heading1"/>
        <w:keepNext/>
        <w:spacing w:before="200" w:after="80"/>
      </w:pPr>
      <w:r>
        <w:rPr>
          <w:rFonts w:ascii="Calibri" w:hAnsi="Calibri"/>
          <w:b/>
          <w:color w:val="143755"/>
          <w:sz w:val="30"/>
        </w:rPr>
        <w:t>1. Architecture Vision</w:t>
      </w:r>
    </w:p>
    <w:p>
      <w:pPr>
        <w:keepNext w:val="0"/>
        <w:spacing w:after="80" w:line="247" w:lineRule="auto"/>
      </w:pPr>
      <w:r>
        <w:rPr>
          <w:rFonts w:ascii="Calibri" w:hAnsi="Calibri"/>
          <w:sz w:val="21"/>
        </w:rPr>
        <w:t>The appliance combines a distributed NeuralMesh storage fabric, modern PCIe-based NVMe infrastructure, NVIDIA Spectrum-X Ethernet, GPU-aware data services and a policy-driven intelligence layer. It is intended to operate as a unified AI data plane that continuously balances performance, capacity, cost, security and recoverability.</w:t>
      </w:r>
    </w:p>
    <w:p>
      <w:pPr>
        <w:keepNext w:val="0"/>
        <w:spacing w:after="80" w:line="247" w:lineRule="auto"/>
      </w:pPr>
      <w:r>
        <w:rPr>
          <w:rFonts w:ascii="Calibri" w:hAnsi="Calibri"/>
          <w:sz w:val="21"/>
        </w:rPr>
        <w:t>The architecture supports an engineering target of up to 1.1 EB effective capacity per rack, subject to the selected media density, data-reduction ratio, protection policy and workload profile. Capacity and performance figures must be validated during final product qualification.</w:t>
      </w:r>
    </w:p>
    <w:p>
      <w:pPr>
        <w:pStyle w:val="Heading2"/>
        <w:keepNext/>
        <w:spacing w:before="200" w:after="80"/>
      </w:pPr>
      <w:r>
        <w:rPr>
          <w:rFonts w:ascii="Calibri" w:hAnsi="Calibri"/>
          <w:b/>
          <w:color w:val="225870"/>
          <w:sz w:val="24"/>
        </w:rPr>
        <w:t>Logical Architecture</w:t>
      </w:r>
    </w:p>
    <w:tbl>
      <w:tblPr>
        <w:tblW w:type="auto" w:w="0"/>
        <w:jc w:val="center"/>
        <w:tblLook w:firstColumn="1" w:firstRow="1" w:lastColumn="0" w:lastRow="0" w:noHBand="0" w:noVBand="1" w:val="04A0"/>
      </w:tblPr>
      <w:tblGrid>
        <w:gridCol w:w="10166"/>
      </w:tblGrid>
      <w:tr>
        <w:tc>
          <w:tcPr>
            <w:tcW w:type="dxa" w:w="10166"/>
            <w:shd w:fill="163A5F"/>
            <w:tcMar>
              <w:top w:w="130" w:type="dxa"/>
              <w:start w:w="150" w:type="dxa"/>
              <w:bottom w:w="130" w:type="dxa"/>
              <w:end w:w="150" w:type="dxa"/>
            </w:tcMar>
          </w:tcPr>
          <w:p>
            <w:pPr>
              <w:spacing w:after="40"/>
              <w:jc w:val="center"/>
            </w:pPr>
            <w:r>
              <w:rPr>
                <w:rFonts w:ascii="Calibri" w:hAnsi="Calibri"/>
                <w:b/>
                <w:color w:val="FFFFFF"/>
                <w:sz w:val="21"/>
              </w:rPr>
              <w:t>AI COMPUTE AND APPLICATIONS</w:t>
            </w:r>
          </w:p>
          <w:p>
            <w:pPr>
              <w:spacing w:after="0"/>
              <w:jc w:val="center"/>
            </w:pPr>
            <w:r>
              <w:rPr>
                <w:rFonts w:ascii="Calibri" w:hAnsi="Calibri"/>
                <w:color w:val="FFFFFF"/>
                <w:sz w:val="18"/>
              </w:rPr>
              <w:t>GPU training • Inference • CPU preprocessing • Kubernetes • RAG • AI agents</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45B78"/>
            <w:tcMar>
              <w:top w:w="130" w:type="dxa"/>
              <w:start w:w="150" w:type="dxa"/>
              <w:bottom w:w="130" w:type="dxa"/>
              <w:end w:w="150" w:type="dxa"/>
            </w:tcMar>
          </w:tcPr>
          <w:p>
            <w:pPr>
              <w:spacing w:after="40"/>
              <w:jc w:val="center"/>
            </w:pPr>
            <w:r>
              <w:rPr>
                <w:rFonts w:ascii="Calibri" w:hAnsi="Calibri"/>
                <w:b/>
                <w:color w:val="FFFFFF"/>
                <w:sz w:val="21"/>
              </w:rPr>
              <w:t>AI NETWORK FABRIC</w:t>
            </w:r>
          </w:p>
          <w:p>
            <w:pPr>
              <w:spacing w:after="0"/>
              <w:jc w:val="center"/>
            </w:pPr>
            <w:r>
              <w:rPr>
                <w:rFonts w:ascii="Calibri" w:hAnsi="Calibri"/>
                <w:color w:val="FFFFFF"/>
                <w:sz w:val="18"/>
              </w:rPr>
              <w:t>Spectrum-X Ethernet • 400/800 GbE • RoCEv2 • RDMA • GPUDirect-ready data paths</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F6B79"/>
            <w:tcMar>
              <w:top w:w="130" w:type="dxa"/>
              <w:start w:w="150" w:type="dxa"/>
              <w:bottom w:w="130" w:type="dxa"/>
              <w:end w:w="150" w:type="dxa"/>
            </w:tcMar>
          </w:tcPr>
          <w:p>
            <w:pPr>
              <w:spacing w:after="40"/>
              <w:jc w:val="center"/>
            </w:pPr>
            <w:r>
              <w:rPr>
                <w:rFonts w:ascii="Calibri" w:hAnsi="Calibri"/>
                <w:b/>
                <w:color w:val="FFFFFF"/>
                <w:sz w:val="21"/>
              </w:rPr>
              <w:t>DISTRIBUTED STORAGE FABRIC</w:t>
            </w:r>
          </w:p>
          <w:p>
            <w:pPr>
              <w:spacing w:after="0"/>
              <w:jc w:val="center"/>
            </w:pPr>
            <w:r>
              <w:rPr>
                <w:rFonts w:ascii="Calibri" w:hAnsi="Calibri"/>
                <w:color w:val="FFFFFF"/>
                <w:sz w:val="18"/>
              </w:rPr>
              <w:t>NeuralMesh namespace • POSIX • NFS • SMB • S3 • CSI • snapshots • erasure coding</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D9E8EC"/>
            <w:tcMar>
              <w:top w:w="130" w:type="dxa"/>
              <w:start w:w="150" w:type="dxa"/>
              <w:bottom w:w="130" w:type="dxa"/>
              <w:end w:w="150" w:type="dxa"/>
            </w:tcMar>
          </w:tcPr>
          <w:p>
            <w:pPr>
              <w:spacing w:after="40"/>
              <w:jc w:val="center"/>
            </w:pPr>
            <w:r>
              <w:rPr>
                <w:rFonts w:ascii="Calibri" w:hAnsi="Calibri"/>
                <w:b/>
                <w:color w:val="142837"/>
                <w:sz w:val="21"/>
              </w:rPr>
              <w:t>SMART SYNTHETIC-INTELLIGENCE ENGINE</w:t>
            </w:r>
          </w:p>
          <w:p>
            <w:pPr>
              <w:spacing w:after="0"/>
              <w:jc w:val="center"/>
            </w:pPr>
            <w:r>
              <w:rPr>
                <w:rFonts w:ascii="Calibri" w:hAnsi="Calibri"/>
                <w:color w:val="142837"/>
                <w:sz w:val="18"/>
              </w:rPr>
              <w:t>Telemetry • demand prediction • classification • prefetch • tiering • synthetic-data controls</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EAF0F5"/>
            <w:tcMar>
              <w:top w:w="130" w:type="dxa"/>
              <w:start w:w="150" w:type="dxa"/>
              <w:bottom w:w="130" w:type="dxa"/>
              <w:end w:w="150" w:type="dxa"/>
            </w:tcMar>
          </w:tcPr>
          <w:p>
            <w:pPr>
              <w:spacing w:after="40"/>
              <w:jc w:val="center"/>
            </w:pPr>
            <w:r>
              <w:rPr>
                <w:rFonts w:ascii="Calibri" w:hAnsi="Calibri"/>
                <w:b/>
                <w:color w:val="142837"/>
                <w:sz w:val="21"/>
              </w:rPr>
              <w:t>DATA TIERS</w:t>
            </w:r>
          </w:p>
          <w:p>
            <w:pPr>
              <w:spacing w:after="0"/>
              <w:jc w:val="center"/>
            </w:pPr>
            <w:r>
              <w:rPr>
                <w:rFonts w:ascii="Calibri" w:hAnsi="Calibri"/>
                <w:color w:val="142837"/>
                <w:sz w:val="18"/>
              </w:rPr>
              <w:t>DRAM/SCM cache • performance NVMe • dense-capacity flash • encrypted cloud object</w:t>
            </w:r>
          </w:p>
        </w:tc>
      </w:tr>
    </w:tbl>
    <w:p>
      <w:pPr>
        <w:pStyle w:val="Heading2"/>
        <w:keepNext/>
        <w:spacing w:before="200" w:after="80"/>
      </w:pPr>
      <w:r>
        <w:rPr>
          <w:rFonts w:ascii="Calibri" w:hAnsi="Calibri"/>
          <w:b/>
          <w:color w:val="225870"/>
          <w:sz w:val="24"/>
        </w:rPr>
        <w:t>Core Architectural Principles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376"/>
            <w:shd w:fill="163A5F"/>
            <w:vAlign w:val="center"/>
            <w:tcMar>
              <w:top w:w="90" w:type="dxa"/>
              <w:start w:w="110" w:type="dxa"/>
              <w:bottom w:w="90" w:type="dxa"/>
              <w:end w:w="110" w:type="dxa"/>
            </w:tcMar>
          </w:tcPr>
          <w:p>
            <w:pPr>
              <w:jc w:val="center"/>
            </w:pPr>
            <w:r>
              <w:rPr>
                <w:rFonts w:ascii="Calibri" w:hAnsi="Calibri"/>
                <w:b/>
                <w:color w:val="FFFFFF"/>
                <w:sz w:val="19"/>
              </w:rPr>
              <w:t>Principle</w:t>
            </w:r>
          </w:p>
        </w:tc>
        <w:tc>
          <w:tcPr>
            <w:tcW w:type="dxa" w:w="7704"/>
            <w:shd w:fill="163A5F"/>
            <w:vAlign w:val="center"/>
            <w:tcMar>
              <w:top w:w="90" w:type="dxa"/>
              <w:start w:w="110" w:type="dxa"/>
              <w:bottom w:w="90" w:type="dxa"/>
              <w:end w:w="110" w:type="dxa"/>
            </w:tcMar>
          </w:tcPr>
          <w:p>
            <w:pPr>
              <w:jc w:val="center"/>
            </w:pPr>
            <w:r>
              <w:rPr>
                <w:rFonts w:ascii="Calibri" w:hAnsi="Calibri"/>
                <w:b/>
                <w:color w:val="FFFFFF"/>
                <w:sz w:val="19"/>
              </w:rPr>
              <w:t>Design Interpretation</w:t>
            </w:r>
          </w:p>
        </w:tc>
      </w:tr>
      <w:tr>
        <w:tc>
          <w:tcPr>
            <w:tcW w:type="dxa" w:w="2376"/>
            <w:tcMar>
              <w:top w:w="90" w:type="dxa"/>
              <w:start w:w="110" w:type="dxa"/>
              <w:bottom w:w="90" w:type="dxa"/>
              <w:end w:w="110" w:type="dxa"/>
            </w:tcMar>
            <w:vAlign w:val="center"/>
          </w:tcPr>
          <w:p>
            <w:pPr>
              <w:spacing w:after="0"/>
            </w:pPr>
            <w:r>
              <w:rPr>
                <w:rFonts w:ascii="Calibri" w:hAnsi="Calibri"/>
                <w:sz w:val="18"/>
              </w:rPr>
              <w:t>GPU-aware data delivery</w:t>
            </w:r>
          </w:p>
        </w:tc>
        <w:tc>
          <w:tcPr>
            <w:tcW w:type="dxa" w:w="7704"/>
            <w:tcMar>
              <w:top w:w="90" w:type="dxa"/>
              <w:start w:w="110" w:type="dxa"/>
              <w:bottom w:w="90" w:type="dxa"/>
              <w:end w:w="110" w:type="dxa"/>
            </w:tcMar>
            <w:vAlign w:val="center"/>
          </w:tcPr>
          <w:p>
            <w:pPr>
              <w:spacing w:after="0"/>
            </w:pPr>
            <w:r>
              <w:rPr>
                <w:rFonts w:ascii="Calibri" w:hAnsi="Calibri"/>
                <w:sz w:val="18"/>
              </w:rPr>
              <w:t>Reduce CPU copies and storage bottlenecks through RDMA, GPUDirect-ready access and parallel data paths.</w:t>
            </w:r>
          </w:p>
        </w:tc>
      </w:tr>
      <w:tr>
        <w:tc>
          <w:tcPr>
            <w:tcW w:type="dxa" w:w="2376"/>
            <w:tcMar>
              <w:top w:w="90" w:type="dxa"/>
              <w:start w:w="110" w:type="dxa"/>
              <w:bottom w:w="90" w:type="dxa"/>
              <w:end w:w="110" w:type="dxa"/>
            </w:tcMar>
            <w:vAlign w:val="center"/>
            <w:shd w:fill="EAF0F5"/>
          </w:tcPr>
          <w:p>
            <w:pPr>
              <w:spacing w:after="0"/>
            </w:pPr>
            <w:r>
              <w:rPr>
                <w:rFonts w:ascii="Calibri" w:hAnsi="Calibri"/>
                <w:sz w:val="18"/>
              </w:rPr>
              <w:t>One namespace</w:t>
            </w:r>
          </w:p>
        </w:tc>
        <w:tc>
          <w:tcPr>
            <w:tcW w:type="dxa" w:w="7704"/>
            <w:tcMar>
              <w:top w:w="90" w:type="dxa"/>
              <w:start w:w="110" w:type="dxa"/>
              <w:bottom w:w="90" w:type="dxa"/>
              <w:end w:w="110" w:type="dxa"/>
            </w:tcMar>
            <w:vAlign w:val="center"/>
            <w:shd w:fill="EAF0F5"/>
          </w:tcPr>
          <w:p>
            <w:pPr>
              <w:spacing w:after="0"/>
            </w:pPr>
            <w:r>
              <w:rPr>
                <w:rFonts w:ascii="Calibri" w:hAnsi="Calibri"/>
                <w:sz w:val="18"/>
              </w:rPr>
              <w:t>Present consistent access across local performance tiers and approved cloud-object targets.</w:t>
            </w:r>
          </w:p>
        </w:tc>
      </w:tr>
      <w:tr>
        <w:tc>
          <w:tcPr>
            <w:tcW w:type="dxa" w:w="2376"/>
            <w:tcMar>
              <w:top w:w="90" w:type="dxa"/>
              <w:start w:w="110" w:type="dxa"/>
              <w:bottom w:w="90" w:type="dxa"/>
              <w:end w:w="110" w:type="dxa"/>
            </w:tcMar>
            <w:vAlign w:val="center"/>
          </w:tcPr>
          <w:p>
            <w:pPr>
              <w:spacing w:after="0"/>
            </w:pPr>
            <w:r>
              <w:rPr>
                <w:rFonts w:ascii="Calibri" w:hAnsi="Calibri"/>
                <w:sz w:val="18"/>
              </w:rPr>
              <w:t>Policy before movement</w:t>
            </w:r>
          </w:p>
        </w:tc>
        <w:tc>
          <w:tcPr>
            <w:tcW w:type="dxa" w:w="7704"/>
            <w:tcMar>
              <w:top w:w="90" w:type="dxa"/>
              <w:start w:w="110" w:type="dxa"/>
              <w:bottom w:w="90" w:type="dxa"/>
              <w:end w:w="110" w:type="dxa"/>
            </w:tcMar>
            <w:vAlign w:val="center"/>
          </w:tcPr>
          <w:p>
            <w:pPr>
              <w:spacing w:after="0"/>
            </w:pPr>
            <w:r>
              <w:rPr>
                <w:rFonts w:ascii="Calibri" w:hAnsi="Calibri"/>
                <w:sz w:val="18"/>
              </w:rPr>
              <w:t>Classify, authorize, obfuscate and encrypt data before it moves between tiers or clouds.</w:t>
            </w:r>
          </w:p>
        </w:tc>
      </w:tr>
      <w:tr>
        <w:tc>
          <w:tcPr>
            <w:tcW w:type="dxa" w:w="2376"/>
            <w:tcMar>
              <w:top w:w="90" w:type="dxa"/>
              <w:start w:w="110" w:type="dxa"/>
              <w:bottom w:w="90" w:type="dxa"/>
              <w:end w:w="110" w:type="dxa"/>
            </w:tcMar>
            <w:vAlign w:val="center"/>
            <w:shd w:fill="EAF0F5"/>
          </w:tcPr>
          <w:p>
            <w:pPr>
              <w:spacing w:after="0"/>
            </w:pPr>
            <w:r>
              <w:rPr>
                <w:rFonts w:ascii="Calibri" w:hAnsi="Calibri"/>
                <w:sz w:val="18"/>
              </w:rPr>
              <w:t>Independent failure domains</w:t>
            </w:r>
          </w:p>
        </w:tc>
        <w:tc>
          <w:tcPr>
            <w:tcW w:type="dxa" w:w="7704"/>
            <w:tcMar>
              <w:top w:w="90" w:type="dxa"/>
              <w:start w:w="110" w:type="dxa"/>
              <w:bottom w:w="90" w:type="dxa"/>
              <w:end w:w="110" w:type="dxa"/>
            </w:tcMar>
            <w:vAlign w:val="center"/>
            <w:shd w:fill="EAF0F5"/>
          </w:tcPr>
          <w:p>
            <w:pPr>
              <w:spacing w:after="0"/>
            </w:pPr>
            <w:r>
              <w:rPr>
                <w:rFonts w:ascii="Calibri" w:hAnsi="Calibri"/>
                <w:sz w:val="18"/>
              </w:rPr>
              <w:t>Prevent a switch, controller, enclosure or rack failure from becoming a data-loss boundary.</w:t>
            </w:r>
          </w:p>
        </w:tc>
      </w:tr>
      <w:tr>
        <w:tc>
          <w:tcPr>
            <w:tcW w:type="dxa" w:w="2376"/>
            <w:tcMar>
              <w:top w:w="90" w:type="dxa"/>
              <w:start w:w="110" w:type="dxa"/>
              <w:bottom w:w="90" w:type="dxa"/>
              <w:end w:w="110" w:type="dxa"/>
            </w:tcMar>
            <w:vAlign w:val="center"/>
          </w:tcPr>
          <w:p>
            <w:pPr>
              <w:spacing w:after="0"/>
            </w:pPr>
            <w:r>
              <w:rPr>
                <w:rFonts w:ascii="Calibri" w:hAnsi="Calibri"/>
                <w:sz w:val="18"/>
              </w:rPr>
              <w:t>Security by representation</w:t>
            </w:r>
          </w:p>
        </w:tc>
        <w:tc>
          <w:tcPr>
            <w:tcW w:type="dxa" w:w="7704"/>
            <w:tcMar>
              <w:top w:w="90" w:type="dxa"/>
              <w:start w:w="110" w:type="dxa"/>
              <w:bottom w:w="90" w:type="dxa"/>
              <w:end w:w="110" w:type="dxa"/>
            </w:tcMar>
            <w:vAlign w:val="center"/>
          </w:tcPr>
          <w:p>
            <w:pPr>
              <w:spacing w:after="0"/>
            </w:pPr>
            <w:r>
              <w:rPr>
                <w:rFonts w:ascii="Calibri" w:hAnsi="Calibri"/>
                <w:sz w:val="18"/>
              </w:rPr>
              <w:t>Return full, masked, tokenized, aggregated or synthetic data according to identity and purpose.</w:t>
            </w:r>
          </w:p>
        </w:tc>
      </w:tr>
    </w:tbl>
    <w:p>
      <w:pPr>
        <w:spacing w:after="80" w:line="247" w:lineRule="auto"/>
      </w:pPr>
    </w:p>
    <w:p>
      <w:pPr>
        <w:pStyle w:val="Heading1"/>
        <w:keepNext/>
        <w:spacing w:before="200" w:after="80"/>
      </w:pPr>
      <w:r>
        <w:rPr>
          <w:rFonts w:ascii="Calibri" w:hAnsi="Calibri"/>
          <w:b/>
          <w:color w:val="143755"/>
          <w:sz w:val="30"/>
        </w:rPr>
        <w:t>2. Technology Architecture</w:t>
      </w:r>
    </w:p>
    <w:p>
      <w:pPr>
        <w:pStyle w:val="Heading2"/>
        <w:keepNext/>
        <w:spacing w:before="200" w:after="80"/>
      </w:pPr>
      <w:r>
        <w:rPr>
          <w:rFonts w:ascii="Calibri" w:hAnsi="Calibri"/>
          <w:b/>
          <w:color w:val="225870"/>
          <w:sz w:val="24"/>
        </w:rPr>
        <w:t>AI Compute Access Layer</w:t>
      </w:r>
    </w:p>
    <w:p>
      <w:pPr>
        <w:pStyle w:val="ListBullet"/>
        <w:spacing w:after="40" w:line="240" w:lineRule="auto"/>
      </w:pPr>
      <w:r>
        <w:rPr>
          <w:rFonts w:ascii="Calibri" w:hAnsi="Calibri"/>
          <w:sz w:val="21"/>
        </w:rPr>
        <w:t>NVIDIA GPU platforms and CPU-based preprocessing, analytics and orchestration nodes.</w:t>
      </w:r>
    </w:p>
    <w:p>
      <w:pPr>
        <w:pStyle w:val="ListBullet"/>
        <w:spacing w:after="40" w:line="240" w:lineRule="auto"/>
      </w:pPr>
      <w:r>
        <w:rPr>
          <w:rFonts w:ascii="Calibri" w:hAnsi="Calibri"/>
          <w:sz w:val="21"/>
        </w:rPr>
        <w:t>Kubernetes CSI integration for containerized AI pipelines.</w:t>
      </w:r>
    </w:p>
    <w:p>
      <w:pPr>
        <w:pStyle w:val="ListBullet"/>
        <w:spacing w:after="40" w:line="240" w:lineRule="auto"/>
      </w:pPr>
      <w:r>
        <w:rPr>
          <w:rFonts w:ascii="Calibri" w:hAnsi="Calibri"/>
          <w:sz w:val="21"/>
        </w:rPr>
        <w:t>POSIX, NFS, SMB and S3 access through a distributed global namespace.</w:t>
      </w:r>
    </w:p>
    <w:p>
      <w:pPr>
        <w:pStyle w:val="ListBullet"/>
        <w:spacing w:after="40" w:line="240" w:lineRule="auto"/>
      </w:pPr>
      <w:r>
        <w:rPr>
          <w:rFonts w:ascii="Calibri" w:hAnsi="Calibri"/>
          <w:sz w:val="21"/>
        </w:rPr>
        <w:t>GPU-direct or equivalent direct data paths to reduce host CPU overhead.</w:t>
      </w:r>
    </w:p>
    <w:p>
      <w:pPr>
        <w:pStyle w:val="ListBullet"/>
        <w:spacing w:after="40" w:line="240" w:lineRule="auto"/>
      </w:pPr>
      <w:r>
        <w:rPr>
          <w:rFonts w:ascii="Calibri" w:hAnsi="Calibri"/>
          <w:sz w:val="21"/>
        </w:rPr>
        <w:t>Quality-of-service controls that isolate training, inference, checkpoint and metadata traffic.</w:t>
      </w:r>
    </w:p>
    <w:p>
      <w:pPr>
        <w:pStyle w:val="Heading2"/>
        <w:keepNext/>
        <w:spacing w:before="200" w:after="80"/>
      </w:pPr>
      <w:r>
        <w:rPr>
          <w:rFonts w:ascii="Calibri" w:hAnsi="Calibri"/>
          <w:b/>
          <w:color w:val="225870"/>
          <w:sz w:val="24"/>
        </w:rPr>
        <w:t>AI Network Fabric</w:t>
      </w:r>
    </w:p>
    <w:p>
      <w:pPr>
        <w:keepNext w:val="0"/>
        <w:spacing w:after="80" w:line="247" w:lineRule="auto"/>
      </w:pPr>
      <w:r>
        <w:rPr>
          <w:rFonts w:ascii="Calibri" w:hAnsi="Calibri"/>
          <w:sz w:val="21"/>
        </w:rPr>
        <w:t>Use NVIDIA Spectrum-X Ethernet as the primary GPU-to-storage scale-out fabric. The design should support dual, nonblocking network planes and separate compute, storage, management and replication traffic.</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592"/>
            <w:shd w:fill="163A5F"/>
            <w:vAlign w:val="center"/>
            <w:tcMar>
              <w:top w:w="90" w:type="dxa"/>
              <w:start w:w="110" w:type="dxa"/>
              <w:bottom w:w="90" w:type="dxa"/>
              <w:end w:w="110" w:type="dxa"/>
            </w:tcMar>
          </w:tcPr>
          <w:p>
            <w:pPr>
              <w:jc w:val="center"/>
            </w:pPr>
            <w:r>
              <w:rPr>
                <w:rFonts w:ascii="Calibri" w:hAnsi="Calibri"/>
                <w:b/>
                <w:color w:val="FFFFFF"/>
                <w:sz w:val="19"/>
              </w:rPr>
              <w:t>Capability</w:t>
            </w:r>
          </w:p>
        </w:tc>
        <w:tc>
          <w:tcPr>
            <w:tcW w:type="dxa" w:w="7488"/>
            <w:shd w:fill="163A5F"/>
            <w:vAlign w:val="center"/>
            <w:tcMar>
              <w:top w:w="90" w:type="dxa"/>
              <w:start w:w="110" w:type="dxa"/>
              <w:bottom w:w="90" w:type="dxa"/>
              <w:end w:w="110" w:type="dxa"/>
            </w:tcMar>
          </w:tcPr>
          <w:p>
            <w:pPr>
              <w:jc w:val="center"/>
            </w:pPr>
            <w:r>
              <w:rPr>
                <w:rFonts w:ascii="Calibri" w:hAnsi="Calibri"/>
                <w:b/>
                <w:color w:val="FFFFFF"/>
                <w:sz w:val="19"/>
              </w:rPr>
              <w:t>Architecture Requirement</w:t>
            </w:r>
          </w:p>
        </w:tc>
      </w:tr>
      <w:tr>
        <w:tc>
          <w:tcPr>
            <w:tcW w:type="dxa" w:w="2592"/>
            <w:tcMar>
              <w:top w:w="90" w:type="dxa"/>
              <w:start w:w="110" w:type="dxa"/>
              <w:bottom w:w="90" w:type="dxa"/>
              <w:end w:w="110" w:type="dxa"/>
            </w:tcMar>
            <w:vAlign w:val="center"/>
          </w:tcPr>
          <w:p>
            <w:pPr>
              <w:spacing w:after="0"/>
            </w:pPr>
            <w:r>
              <w:rPr>
                <w:rFonts w:ascii="Calibri" w:hAnsi="Calibri"/>
                <w:sz w:val="18"/>
              </w:rPr>
              <w:t>Link speeds</w:t>
            </w:r>
          </w:p>
        </w:tc>
        <w:tc>
          <w:tcPr>
            <w:tcW w:type="dxa" w:w="7488"/>
            <w:tcMar>
              <w:top w:w="90" w:type="dxa"/>
              <w:start w:w="110" w:type="dxa"/>
              <w:bottom w:w="90" w:type="dxa"/>
              <w:end w:w="110" w:type="dxa"/>
            </w:tcMar>
            <w:vAlign w:val="center"/>
          </w:tcPr>
          <w:p>
            <w:pPr>
              <w:spacing w:after="0"/>
            </w:pPr>
            <w:r>
              <w:rPr>
                <w:rFonts w:ascii="Calibri" w:hAnsi="Calibri"/>
                <w:sz w:val="18"/>
              </w:rPr>
              <w:t>400/800 GbE server and storage connectivity, with a roadmap for the next Spectrum-X generation.</w:t>
            </w:r>
          </w:p>
        </w:tc>
      </w:tr>
      <w:tr>
        <w:tc>
          <w:tcPr>
            <w:tcW w:type="dxa" w:w="2592"/>
            <w:tcMar>
              <w:top w:w="90" w:type="dxa"/>
              <w:start w:w="110" w:type="dxa"/>
              <w:bottom w:w="90" w:type="dxa"/>
              <w:end w:w="110" w:type="dxa"/>
            </w:tcMar>
            <w:vAlign w:val="center"/>
            <w:shd w:fill="EAF0F5"/>
          </w:tcPr>
          <w:p>
            <w:pPr>
              <w:spacing w:after="0"/>
            </w:pPr>
            <w:r>
              <w:rPr>
                <w:rFonts w:ascii="Calibri" w:hAnsi="Calibri"/>
                <w:sz w:val="18"/>
              </w:rPr>
              <w:t>Transport</w:t>
            </w:r>
          </w:p>
        </w:tc>
        <w:tc>
          <w:tcPr>
            <w:tcW w:type="dxa" w:w="7488"/>
            <w:tcMar>
              <w:top w:w="90" w:type="dxa"/>
              <w:start w:w="110" w:type="dxa"/>
              <w:bottom w:w="90" w:type="dxa"/>
              <w:end w:w="110" w:type="dxa"/>
            </w:tcMar>
            <w:vAlign w:val="center"/>
            <w:shd w:fill="EAF0F5"/>
          </w:tcPr>
          <w:p>
            <w:pPr>
              <w:spacing w:after="0"/>
            </w:pPr>
            <w:r>
              <w:rPr>
                <w:rFonts w:ascii="Calibri" w:hAnsi="Calibri"/>
                <w:sz w:val="18"/>
              </w:rPr>
              <w:t>RoCEv2 and RDMA with lossless traffic classes.</w:t>
            </w:r>
          </w:p>
        </w:tc>
      </w:tr>
      <w:tr>
        <w:tc>
          <w:tcPr>
            <w:tcW w:type="dxa" w:w="2592"/>
            <w:tcMar>
              <w:top w:w="90" w:type="dxa"/>
              <w:start w:w="110" w:type="dxa"/>
              <w:bottom w:w="90" w:type="dxa"/>
              <w:end w:w="110" w:type="dxa"/>
            </w:tcMar>
            <w:vAlign w:val="center"/>
          </w:tcPr>
          <w:p>
            <w:pPr>
              <w:spacing w:after="0"/>
            </w:pPr>
            <w:r>
              <w:rPr>
                <w:rFonts w:ascii="Calibri" w:hAnsi="Calibri"/>
                <w:sz w:val="18"/>
              </w:rPr>
              <w:t>Congestion management</w:t>
            </w:r>
          </w:p>
        </w:tc>
        <w:tc>
          <w:tcPr>
            <w:tcW w:type="dxa" w:w="7488"/>
            <w:tcMar>
              <w:top w:w="90" w:type="dxa"/>
              <w:start w:w="110" w:type="dxa"/>
              <w:bottom w:w="90" w:type="dxa"/>
              <w:end w:w="110" w:type="dxa"/>
            </w:tcMar>
            <w:vAlign w:val="center"/>
          </w:tcPr>
          <w:p>
            <w:pPr>
              <w:spacing w:after="0"/>
            </w:pPr>
            <w:r>
              <w:rPr>
                <w:rFonts w:ascii="Calibri" w:hAnsi="Calibri"/>
                <w:sz w:val="18"/>
              </w:rPr>
              <w:t>Adaptive routing, telemetry-driven congestion control and deterministic queue design.</w:t>
            </w:r>
          </w:p>
        </w:tc>
      </w:tr>
      <w:tr>
        <w:tc>
          <w:tcPr>
            <w:tcW w:type="dxa" w:w="2592"/>
            <w:tcMar>
              <w:top w:w="90" w:type="dxa"/>
              <w:start w:w="110" w:type="dxa"/>
              <w:bottom w:w="90" w:type="dxa"/>
              <w:end w:w="110" w:type="dxa"/>
            </w:tcMar>
            <w:vAlign w:val="center"/>
            <w:shd w:fill="EAF0F5"/>
          </w:tcPr>
          <w:p>
            <w:pPr>
              <w:spacing w:after="0"/>
            </w:pPr>
            <w:r>
              <w:rPr>
                <w:rFonts w:ascii="Calibri" w:hAnsi="Calibri"/>
                <w:sz w:val="18"/>
              </w:rPr>
              <w:t>Redundancy</w:t>
            </w:r>
          </w:p>
        </w:tc>
        <w:tc>
          <w:tcPr>
            <w:tcW w:type="dxa" w:w="7488"/>
            <w:tcMar>
              <w:top w:w="90" w:type="dxa"/>
              <w:start w:w="110" w:type="dxa"/>
              <w:bottom w:w="90" w:type="dxa"/>
              <w:end w:w="110" w:type="dxa"/>
            </w:tcMar>
            <w:vAlign w:val="center"/>
            <w:shd w:fill="EAF0F5"/>
          </w:tcPr>
          <w:p>
            <w:pPr>
              <w:spacing w:after="0"/>
            </w:pPr>
            <w:r>
              <w:rPr>
                <w:rFonts w:ascii="Calibri" w:hAnsi="Calibri"/>
                <w:sz w:val="18"/>
              </w:rPr>
              <w:t>Dual NICs, dual leaf switches and physically independent network paths.</w:t>
            </w:r>
          </w:p>
        </w:tc>
      </w:tr>
      <w:tr>
        <w:tc>
          <w:tcPr>
            <w:tcW w:type="dxa" w:w="2592"/>
            <w:tcMar>
              <w:top w:w="90" w:type="dxa"/>
              <w:start w:w="110" w:type="dxa"/>
              <w:bottom w:w="90" w:type="dxa"/>
              <w:end w:w="110" w:type="dxa"/>
            </w:tcMar>
            <w:vAlign w:val="center"/>
          </w:tcPr>
          <w:p>
            <w:pPr>
              <w:spacing w:after="0"/>
            </w:pPr>
            <w:r>
              <w:rPr>
                <w:rFonts w:ascii="Calibri" w:hAnsi="Calibri"/>
                <w:sz w:val="18"/>
              </w:rPr>
              <w:t>Segmentation</w:t>
            </w:r>
          </w:p>
        </w:tc>
        <w:tc>
          <w:tcPr>
            <w:tcW w:type="dxa" w:w="7488"/>
            <w:tcMar>
              <w:top w:w="90" w:type="dxa"/>
              <w:start w:w="110" w:type="dxa"/>
              <w:bottom w:w="90" w:type="dxa"/>
              <w:end w:w="110" w:type="dxa"/>
            </w:tcMar>
            <w:vAlign w:val="center"/>
          </w:tcPr>
          <w:p>
            <w:pPr>
              <w:spacing w:after="0"/>
            </w:pPr>
            <w:r>
              <w:rPr>
                <w:rFonts w:ascii="Calibri" w:hAnsi="Calibri"/>
                <w:sz w:val="18"/>
              </w:rPr>
              <w:t>Dedicated VRFs/VLANs or equivalent isolation for compute, storage, management and replication.</w:t>
            </w:r>
          </w:p>
        </w:tc>
      </w:tr>
    </w:tbl>
    <w:p>
      <w:pPr>
        <w:spacing w:after="80" w:line="247" w:lineRule="auto"/>
      </w:pPr>
    </w:p>
    <w:p>
      <w:pPr>
        <w:pStyle w:val="Heading2"/>
        <w:keepNext/>
        <w:spacing w:before="200" w:after="80"/>
      </w:pPr>
      <w:r>
        <w:rPr>
          <w:rFonts w:ascii="Calibri" w:hAnsi="Calibri"/>
          <w:b/>
          <w:color w:val="225870"/>
          <w:sz w:val="24"/>
        </w:rPr>
        <w:t>PCIe and Storage-Node Architecture</w:t>
      </w:r>
    </w:p>
    <w:p>
      <w:pPr>
        <w:pStyle w:val="ListBullet"/>
        <w:spacing w:after="40" w:line="240" w:lineRule="auto"/>
      </w:pPr>
      <w:r>
        <w:rPr>
          <w:rFonts w:ascii="Calibri" w:hAnsi="Calibri"/>
          <w:sz w:val="21"/>
        </w:rPr>
        <w:t>PCIe Gen 6 deployable for current NVMe controllers, NICs and accelerator connectivity.</w:t>
      </w:r>
    </w:p>
    <w:p>
      <w:pPr>
        <w:pStyle w:val="ListBullet"/>
        <w:spacing w:after="40" w:line="240" w:lineRule="auto"/>
      </w:pPr>
      <w:r>
        <w:rPr>
          <w:rFonts w:ascii="Calibri" w:hAnsi="Calibri"/>
          <w:sz w:val="21"/>
        </w:rPr>
        <w:t>PCIe Gen 7 ready at chassis, backplane, retimer, power and cooling layers.</w:t>
      </w:r>
    </w:p>
    <w:p>
      <w:pPr>
        <w:pStyle w:val="ListBullet"/>
        <w:spacing w:after="40" w:line="240" w:lineRule="auto"/>
      </w:pPr>
      <w:r>
        <w:rPr>
          <w:rFonts w:ascii="Calibri" w:hAnsi="Calibri"/>
          <w:sz w:val="21"/>
        </w:rPr>
        <w:t>Independent PCIe switch and root-complex failure domains.</w:t>
      </w:r>
    </w:p>
    <w:p>
      <w:pPr>
        <w:pStyle w:val="ListBullet"/>
        <w:spacing w:after="40" w:line="240" w:lineRule="auto"/>
      </w:pPr>
      <w:r>
        <w:rPr>
          <w:rFonts w:ascii="Calibri" w:hAnsi="Calibri"/>
          <w:sz w:val="21"/>
        </w:rPr>
        <w:t>Balanced CPU, memory-channel, PCIe-lane and NIC design to avoid internal oversubscription.</w:t>
      </w:r>
    </w:p>
    <w:p>
      <w:pPr>
        <w:pStyle w:val="ListBullet"/>
        <w:spacing w:after="40" w:line="240" w:lineRule="auto"/>
      </w:pPr>
      <w:r>
        <w:rPr>
          <w:rFonts w:ascii="Calibri" w:hAnsi="Calibri"/>
          <w:sz w:val="21"/>
        </w:rPr>
        <w:t>Hot-serviceable media and controller components wherever practical.</w:t>
      </w:r>
    </w:p>
    <w:p>
      <w:pPr>
        <w:pStyle w:val="Heading1"/>
        <w:keepNext/>
        <w:spacing w:before="200" w:after="80"/>
      </w:pPr>
      <w:r>
        <w:rPr>
          <w:rFonts w:ascii="Calibri" w:hAnsi="Calibri"/>
          <w:b/>
          <w:color w:val="143755"/>
          <w:sz w:val="30"/>
        </w:rPr>
        <w:t>3. Smart Synthetic-Intelligence Data Engine</w:t>
      </w:r>
    </w:p>
    <w:p>
      <w:pPr>
        <w:keepNext w:val="0"/>
        <w:spacing w:after="80" w:line="247" w:lineRule="auto"/>
      </w:pPr>
      <w:r>
        <w:rPr>
          <w:rFonts w:ascii="Calibri" w:hAnsi="Calibri"/>
          <w:sz w:val="21"/>
        </w:rPr>
        <w:t>The intelligence engine is the control plane that allows the appliance to “dance” between memory, performance flash, capacity flash and cloud-object storage. It observes access behavior, predicts future demand and applies policy-driven data placement without disrupting applications.</w:t>
      </w:r>
    </w:p>
    <w:p>
      <w:pPr>
        <w:pStyle w:val="Heading2"/>
        <w:keepNext/>
        <w:spacing w:before="200" w:after="80"/>
      </w:pPr>
      <w:r>
        <w:rPr>
          <w:rFonts w:ascii="Calibri" w:hAnsi="Calibri"/>
          <w:b/>
          <w:color w:val="225870"/>
          <w:sz w:val="24"/>
        </w:rPr>
        <w:t>Decision Inputs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448"/>
            <w:shd w:fill="163A5F"/>
            <w:vAlign w:val="center"/>
            <w:tcMar>
              <w:top w:w="90" w:type="dxa"/>
              <w:start w:w="110" w:type="dxa"/>
              <w:bottom w:w="90" w:type="dxa"/>
              <w:end w:w="110" w:type="dxa"/>
            </w:tcMar>
          </w:tcPr>
          <w:p>
            <w:pPr>
              <w:jc w:val="center"/>
            </w:pPr>
            <w:r>
              <w:rPr>
                <w:rFonts w:ascii="Calibri" w:hAnsi="Calibri"/>
                <w:b/>
                <w:color w:val="FFFFFF"/>
                <w:sz w:val="19"/>
              </w:rPr>
              <w:t>Signal</w:t>
            </w:r>
          </w:p>
        </w:tc>
        <w:tc>
          <w:tcPr>
            <w:tcW w:type="dxa" w:w="7632"/>
            <w:shd w:fill="163A5F"/>
            <w:vAlign w:val="center"/>
            <w:tcMar>
              <w:top w:w="90" w:type="dxa"/>
              <w:start w:w="110" w:type="dxa"/>
              <w:bottom w:w="90" w:type="dxa"/>
              <w:end w:w="110" w:type="dxa"/>
            </w:tcMar>
          </w:tcPr>
          <w:p>
            <w:pPr>
              <w:jc w:val="center"/>
            </w:pPr>
            <w:r>
              <w:rPr>
                <w:rFonts w:ascii="Calibri" w:hAnsi="Calibri"/>
                <w:b/>
                <w:color w:val="FFFFFF"/>
                <w:sz w:val="19"/>
              </w:rPr>
              <w:t>Examples</w:t>
            </w:r>
          </w:p>
        </w:tc>
      </w:tr>
      <w:tr>
        <w:tc>
          <w:tcPr>
            <w:tcW w:type="dxa" w:w="2448"/>
            <w:tcMar>
              <w:top w:w="90" w:type="dxa"/>
              <w:start w:w="110" w:type="dxa"/>
              <w:bottom w:w="90" w:type="dxa"/>
              <w:end w:w="110" w:type="dxa"/>
            </w:tcMar>
            <w:vAlign w:val="center"/>
          </w:tcPr>
          <w:p>
            <w:pPr>
              <w:spacing w:after="0"/>
            </w:pPr>
            <w:r>
              <w:rPr>
                <w:rFonts w:ascii="Calibri" w:hAnsi="Calibri"/>
                <w:sz w:val="18"/>
              </w:rPr>
              <w:t>Workload behavior</w:t>
            </w:r>
          </w:p>
        </w:tc>
        <w:tc>
          <w:tcPr>
            <w:tcW w:type="dxa" w:w="7632"/>
            <w:tcMar>
              <w:top w:w="90" w:type="dxa"/>
              <w:start w:w="110" w:type="dxa"/>
              <w:bottom w:w="90" w:type="dxa"/>
              <w:end w:w="110" w:type="dxa"/>
            </w:tcMar>
            <w:vAlign w:val="center"/>
          </w:tcPr>
          <w:p>
            <w:pPr>
              <w:spacing w:after="0"/>
            </w:pPr>
            <w:r>
              <w:rPr>
                <w:rFonts w:ascii="Calibri" w:hAnsi="Calibri"/>
                <w:sz w:val="18"/>
              </w:rPr>
              <w:t>Sequential training reads, random vector searches, checkpoint bursts and inference latency.</w:t>
            </w:r>
          </w:p>
        </w:tc>
      </w:tr>
      <w:tr>
        <w:tc>
          <w:tcPr>
            <w:tcW w:type="dxa" w:w="2448"/>
            <w:tcMar>
              <w:top w:w="90" w:type="dxa"/>
              <w:start w:w="110" w:type="dxa"/>
              <w:bottom w:w="90" w:type="dxa"/>
              <w:end w:w="110" w:type="dxa"/>
            </w:tcMar>
            <w:vAlign w:val="center"/>
            <w:shd w:fill="EAF0F5"/>
          </w:tcPr>
          <w:p>
            <w:pPr>
              <w:spacing w:after="0"/>
            </w:pPr>
            <w:r>
              <w:rPr>
                <w:rFonts w:ascii="Calibri" w:hAnsi="Calibri"/>
                <w:sz w:val="18"/>
              </w:rPr>
              <w:t>Data temperature</w:t>
            </w:r>
          </w:p>
        </w:tc>
        <w:tc>
          <w:tcPr>
            <w:tcW w:type="dxa" w:w="7632"/>
            <w:tcMar>
              <w:top w:w="90" w:type="dxa"/>
              <w:start w:w="110" w:type="dxa"/>
              <w:bottom w:w="90" w:type="dxa"/>
              <w:end w:w="110" w:type="dxa"/>
            </w:tcMar>
            <w:vAlign w:val="center"/>
            <w:shd w:fill="EAF0F5"/>
          </w:tcPr>
          <w:p>
            <w:pPr>
              <w:spacing w:after="0"/>
            </w:pPr>
            <w:r>
              <w:rPr>
                <w:rFonts w:ascii="Calibri" w:hAnsi="Calibri"/>
                <w:sz w:val="18"/>
              </w:rPr>
              <w:t>Recency, frequency, locality and working-set size.</w:t>
            </w:r>
          </w:p>
        </w:tc>
      </w:tr>
      <w:tr>
        <w:tc>
          <w:tcPr>
            <w:tcW w:type="dxa" w:w="2448"/>
            <w:tcMar>
              <w:top w:w="90" w:type="dxa"/>
              <w:start w:w="110" w:type="dxa"/>
              <w:bottom w:w="90" w:type="dxa"/>
              <w:end w:w="110" w:type="dxa"/>
            </w:tcMar>
            <w:vAlign w:val="center"/>
          </w:tcPr>
          <w:p>
            <w:pPr>
              <w:spacing w:after="0"/>
            </w:pPr>
            <w:r>
              <w:rPr>
                <w:rFonts w:ascii="Calibri" w:hAnsi="Calibri"/>
                <w:sz w:val="18"/>
              </w:rPr>
              <w:t>Compute demand</w:t>
            </w:r>
          </w:p>
        </w:tc>
        <w:tc>
          <w:tcPr>
            <w:tcW w:type="dxa" w:w="7632"/>
            <w:tcMar>
              <w:top w:w="90" w:type="dxa"/>
              <w:start w:w="110" w:type="dxa"/>
              <w:bottom w:w="90" w:type="dxa"/>
              <w:end w:w="110" w:type="dxa"/>
            </w:tcMar>
            <w:vAlign w:val="center"/>
          </w:tcPr>
          <w:p>
            <w:pPr>
              <w:spacing w:after="0"/>
            </w:pPr>
            <w:r>
              <w:rPr>
                <w:rFonts w:ascii="Calibri" w:hAnsi="Calibri"/>
                <w:sz w:val="18"/>
              </w:rPr>
              <w:t>GPU queue depth, model schedule, accelerator utilization and batch windows.</w:t>
            </w:r>
          </w:p>
        </w:tc>
      </w:tr>
      <w:tr>
        <w:tc>
          <w:tcPr>
            <w:tcW w:type="dxa" w:w="2448"/>
            <w:tcMar>
              <w:top w:w="90" w:type="dxa"/>
              <w:start w:w="110" w:type="dxa"/>
              <w:bottom w:w="90" w:type="dxa"/>
              <w:end w:w="110" w:type="dxa"/>
            </w:tcMar>
            <w:vAlign w:val="center"/>
            <w:shd w:fill="EAF0F5"/>
          </w:tcPr>
          <w:p>
            <w:pPr>
              <w:spacing w:after="0"/>
            </w:pPr>
            <w:r>
              <w:rPr>
                <w:rFonts w:ascii="Calibri" w:hAnsi="Calibri"/>
                <w:sz w:val="18"/>
              </w:rPr>
              <w:t>Protection context</w:t>
            </w:r>
          </w:p>
        </w:tc>
        <w:tc>
          <w:tcPr>
            <w:tcW w:type="dxa" w:w="7632"/>
            <w:tcMar>
              <w:top w:w="90" w:type="dxa"/>
              <w:start w:w="110" w:type="dxa"/>
              <w:bottom w:w="90" w:type="dxa"/>
              <w:end w:w="110" w:type="dxa"/>
            </w:tcMar>
            <w:vAlign w:val="center"/>
            <w:shd w:fill="EAF0F5"/>
          </w:tcPr>
          <w:p>
            <w:pPr>
              <w:spacing w:after="0"/>
            </w:pPr>
            <w:r>
              <w:rPr>
                <w:rFonts w:ascii="Calibri" w:hAnsi="Calibri"/>
                <w:sz w:val="18"/>
              </w:rPr>
              <w:t>Classification, residency, retention, recovery point and legal hold.</w:t>
            </w:r>
          </w:p>
        </w:tc>
      </w:tr>
      <w:tr>
        <w:tc>
          <w:tcPr>
            <w:tcW w:type="dxa" w:w="2448"/>
            <w:tcMar>
              <w:top w:w="90" w:type="dxa"/>
              <w:start w:w="110" w:type="dxa"/>
              <w:bottom w:w="90" w:type="dxa"/>
              <w:end w:w="110" w:type="dxa"/>
            </w:tcMar>
            <w:vAlign w:val="center"/>
          </w:tcPr>
          <w:p>
            <w:pPr>
              <w:spacing w:after="0"/>
            </w:pPr>
            <w:r>
              <w:rPr>
                <w:rFonts w:ascii="Calibri" w:hAnsi="Calibri"/>
                <w:sz w:val="18"/>
              </w:rPr>
              <w:t>Economics</w:t>
            </w:r>
          </w:p>
        </w:tc>
        <w:tc>
          <w:tcPr>
            <w:tcW w:type="dxa" w:w="7632"/>
            <w:tcMar>
              <w:top w:w="90" w:type="dxa"/>
              <w:start w:w="110" w:type="dxa"/>
              <w:bottom w:w="90" w:type="dxa"/>
              <w:end w:w="110" w:type="dxa"/>
            </w:tcMar>
            <w:vAlign w:val="center"/>
          </w:tcPr>
          <w:p>
            <w:pPr>
              <w:spacing w:after="0"/>
            </w:pPr>
            <w:r>
              <w:rPr>
                <w:rFonts w:ascii="Calibri" w:hAnsi="Calibri"/>
                <w:sz w:val="18"/>
              </w:rPr>
              <w:t>Cost per TB, cloud egress, compression efficiency and reserved capacity.</w:t>
            </w:r>
          </w:p>
        </w:tc>
      </w:tr>
      <w:tr>
        <w:tc>
          <w:tcPr>
            <w:tcW w:type="dxa" w:w="2448"/>
            <w:tcMar>
              <w:top w:w="90" w:type="dxa"/>
              <w:start w:w="110" w:type="dxa"/>
              <w:bottom w:w="90" w:type="dxa"/>
              <w:end w:w="110" w:type="dxa"/>
            </w:tcMar>
            <w:vAlign w:val="center"/>
            <w:shd w:fill="EAF0F5"/>
          </w:tcPr>
          <w:p>
            <w:pPr>
              <w:spacing w:after="0"/>
            </w:pPr>
            <w:r>
              <w:rPr>
                <w:rFonts w:ascii="Calibri" w:hAnsi="Calibri"/>
                <w:sz w:val="18"/>
              </w:rPr>
              <w:t>Risk</w:t>
            </w:r>
          </w:p>
        </w:tc>
        <w:tc>
          <w:tcPr>
            <w:tcW w:type="dxa" w:w="7632"/>
            <w:tcMar>
              <w:top w:w="90" w:type="dxa"/>
              <w:start w:w="110" w:type="dxa"/>
              <w:bottom w:w="90" w:type="dxa"/>
              <w:end w:w="110" w:type="dxa"/>
            </w:tcMar>
            <w:vAlign w:val="center"/>
            <w:shd w:fill="EAF0F5"/>
          </w:tcPr>
          <w:p>
            <w:pPr>
              <w:spacing w:after="0"/>
            </w:pPr>
            <w:r>
              <w:rPr>
                <w:rFonts w:ascii="Calibri" w:hAnsi="Calibri"/>
                <w:sz w:val="18"/>
              </w:rPr>
              <w:t>Identity risk, anomalous access, exfiltration indicators and destination trust.</w:t>
            </w:r>
          </w:p>
        </w:tc>
      </w:tr>
    </w:tbl>
    <w:p>
      <w:pPr>
        <w:spacing w:after="80" w:line="247" w:lineRule="auto"/>
      </w:pPr>
    </w:p>
    <w:p>
      <w:pPr>
        <w:pStyle w:val="Heading2"/>
        <w:keepNext/>
        <w:spacing w:before="200" w:after="80"/>
      </w:pPr>
      <w:r>
        <w:rPr>
          <w:rFonts w:ascii="Calibri" w:hAnsi="Calibri"/>
          <w:b/>
          <w:color w:val="225870"/>
          <w:sz w:val="24"/>
        </w:rPr>
        <w:t>Intelligent Actions</w:t>
      </w:r>
    </w:p>
    <w:p>
      <w:pPr>
        <w:pStyle w:val="ListBullet"/>
        <w:spacing w:after="40" w:line="240" w:lineRule="auto"/>
      </w:pPr>
      <w:r>
        <w:rPr>
          <w:rFonts w:ascii="Calibri" w:hAnsi="Calibri"/>
          <w:sz w:val="21"/>
        </w:rPr>
        <w:t>Prefetch datasets before scheduled training or inference execution.</w:t>
      </w:r>
    </w:p>
    <w:p>
      <w:pPr>
        <w:pStyle w:val="ListBullet"/>
        <w:spacing w:after="40" w:line="240" w:lineRule="auto"/>
      </w:pPr>
      <w:r>
        <w:rPr>
          <w:rFonts w:ascii="Calibri" w:hAnsi="Calibri"/>
          <w:sz w:val="21"/>
        </w:rPr>
        <w:t>Promote active blocks to low-latency NVMe and cache frequently accessed metadata.</w:t>
      </w:r>
    </w:p>
    <w:p>
      <w:pPr>
        <w:pStyle w:val="ListBullet"/>
        <w:spacing w:after="40" w:line="240" w:lineRule="auto"/>
      </w:pPr>
      <w:r>
        <w:rPr>
          <w:rFonts w:ascii="Calibri" w:hAnsi="Calibri"/>
          <w:sz w:val="21"/>
        </w:rPr>
        <w:t>Demote inactive datasets to dense-capacity flash or approved cloud-object tiers.</w:t>
      </w:r>
    </w:p>
    <w:p>
      <w:pPr>
        <w:pStyle w:val="ListBullet"/>
        <w:spacing w:after="40" w:line="240" w:lineRule="auto"/>
      </w:pPr>
      <w:r>
        <w:rPr>
          <w:rFonts w:ascii="Calibri" w:hAnsi="Calibri"/>
          <w:sz w:val="21"/>
        </w:rPr>
        <w:t>Apply compression, deduplication and erasure coding according to workload policy.</w:t>
      </w:r>
    </w:p>
    <w:p>
      <w:pPr>
        <w:pStyle w:val="ListBullet"/>
        <w:spacing w:after="40" w:line="240" w:lineRule="auto"/>
      </w:pPr>
      <w:r>
        <w:rPr>
          <w:rFonts w:ascii="Calibri" w:hAnsi="Calibri"/>
          <w:sz w:val="21"/>
        </w:rPr>
        <w:t>Generate privacy-preserving synthetic representations for development, testing and model validation.</w:t>
      </w:r>
    </w:p>
    <w:p>
      <w:pPr>
        <w:pStyle w:val="ListBullet"/>
        <w:spacing w:after="40" w:line="240" w:lineRule="auto"/>
      </w:pPr>
      <w:r>
        <w:rPr>
          <w:rFonts w:ascii="Calibri" w:hAnsi="Calibri"/>
          <w:sz w:val="21"/>
        </w:rPr>
        <w:t>Continuously rebalance capacity and recover from node or enclosure failures.</w:t>
      </w:r>
    </w:p>
    <w:p>
      <w:pPr>
        <w:pStyle w:val="Heading2"/>
        <w:keepNext/>
        <w:spacing w:before="200" w:after="80"/>
      </w:pPr>
      <w:r>
        <w:rPr>
          <w:rFonts w:ascii="Calibri" w:hAnsi="Calibri"/>
          <w:b/>
          <w:color w:val="225870"/>
          <w:sz w:val="24"/>
        </w:rPr>
        <w:t>Data-Mobility Decision Flow</w:t>
      </w:r>
    </w:p>
    <w:tbl>
      <w:tblPr>
        <w:tblW w:type="auto" w:w="0"/>
        <w:jc w:val="center"/>
        <w:tblLook w:firstColumn="1" w:firstRow="1" w:lastColumn="0" w:lastRow="0" w:noHBand="0" w:noVBand="1" w:val="04A0"/>
      </w:tblPr>
      <w:tblGrid>
        <w:gridCol w:w="10166"/>
      </w:tblGrid>
      <w:tr>
        <w:tc>
          <w:tcPr>
            <w:tcW w:type="dxa" w:w="10166"/>
            <w:shd w:fill="163A5F"/>
            <w:tcMar>
              <w:top w:w="130" w:type="dxa"/>
              <w:start w:w="150" w:type="dxa"/>
              <w:bottom w:w="130" w:type="dxa"/>
              <w:end w:w="150" w:type="dxa"/>
            </w:tcMar>
          </w:tcPr>
          <w:p>
            <w:pPr>
              <w:spacing w:after="40"/>
              <w:jc w:val="center"/>
            </w:pPr>
            <w:r>
              <w:rPr>
                <w:rFonts w:ascii="Calibri" w:hAnsi="Calibri"/>
                <w:b/>
                <w:color w:val="FFFFFF"/>
                <w:sz w:val="21"/>
              </w:rPr>
              <w:t>OBSERVE</w:t>
            </w:r>
          </w:p>
          <w:p>
            <w:pPr>
              <w:spacing w:after="0"/>
              <w:jc w:val="center"/>
            </w:pPr>
            <w:r>
              <w:rPr>
                <w:rFonts w:ascii="Calibri" w:hAnsi="Calibri"/>
                <w:color w:val="FFFFFF"/>
                <w:sz w:val="18"/>
              </w:rPr>
              <w:t>Collect storage, network, GPU, identity, risk and policy telemetry</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45B78"/>
            <w:tcMar>
              <w:top w:w="130" w:type="dxa"/>
              <w:start w:w="150" w:type="dxa"/>
              <w:bottom w:w="130" w:type="dxa"/>
              <w:end w:w="150" w:type="dxa"/>
            </w:tcMar>
          </w:tcPr>
          <w:p>
            <w:pPr>
              <w:spacing w:after="40"/>
              <w:jc w:val="center"/>
            </w:pPr>
            <w:r>
              <w:rPr>
                <w:rFonts w:ascii="Calibri" w:hAnsi="Calibri"/>
                <w:b/>
                <w:color w:val="FFFFFF"/>
                <w:sz w:val="21"/>
              </w:rPr>
              <w:t>CLASSIFY</w:t>
            </w:r>
          </w:p>
          <w:p>
            <w:pPr>
              <w:spacing w:after="0"/>
              <w:jc w:val="center"/>
            </w:pPr>
            <w:r>
              <w:rPr>
                <w:rFonts w:ascii="Calibri" w:hAnsi="Calibri"/>
                <w:color w:val="FFFFFF"/>
                <w:sz w:val="18"/>
              </w:rPr>
              <w:t>Identify workload type, data sensitivity, residency and lifecycle state</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F6B79"/>
            <w:tcMar>
              <w:top w:w="130" w:type="dxa"/>
              <w:start w:w="150" w:type="dxa"/>
              <w:bottom w:w="130" w:type="dxa"/>
              <w:end w:w="150" w:type="dxa"/>
            </w:tcMar>
          </w:tcPr>
          <w:p>
            <w:pPr>
              <w:spacing w:after="40"/>
              <w:jc w:val="center"/>
            </w:pPr>
            <w:r>
              <w:rPr>
                <w:rFonts w:ascii="Calibri" w:hAnsi="Calibri"/>
                <w:b/>
                <w:color w:val="FFFFFF"/>
                <w:sz w:val="21"/>
              </w:rPr>
              <w:t>DECIDE</w:t>
            </w:r>
          </w:p>
          <w:p>
            <w:pPr>
              <w:spacing w:after="0"/>
              <w:jc w:val="center"/>
            </w:pPr>
            <w:r>
              <w:rPr>
                <w:rFonts w:ascii="Calibri" w:hAnsi="Calibri"/>
                <w:color w:val="FFFFFF"/>
                <w:sz w:val="18"/>
              </w:rPr>
              <w:t>Select placement, protection, representation and quality-of-service policy</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D9E8EC"/>
            <w:tcMar>
              <w:top w:w="130" w:type="dxa"/>
              <w:start w:w="150" w:type="dxa"/>
              <w:bottom w:w="130" w:type="dxa"/>
              <w:end w:w="150" w:type="dxa"/>
            </w:tcMar>
          </w:tcPr>
          <w:p>
            <w:pPr>
              <w:spacing w:after="40"/>
              <w:jc w:val="center"/>
            </w:pPr>
            <w:r>
              <w:rPr>
                <w:rFonts w:ascii="Calibri" w:hAnsi="Calibri"/>
                <w:b/>
                <w:color w:val="142837"/>
                <w:sz w:val="21"/>
              </w:rPr>
              <w:t>ACT</w:t>
            </w:r>
          </w:p>
          <w:p>
            <w:pPr>
              <w:spacing w:after="0"/>
              <w:jc w:val="center"/>
            </w:pPr>
            <w:r>
              <w:rPr>
                <w:rFonts w:ascii="Calibri" w:hAnsi="Calibri"/>
                <w:color w:val="142837"/>
                <w:sz w:val="18"/>
              </w:rPr>
              <w:t>Prefetch • promote • demote • obfuscate • encrypt • replicate • retain</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EAF0F5"/>
            <w:tcMar>
              <w:top w:w="130" w:type="dxa"/>
              <w:start w:w="150" w:type="dxa"/>
              <w:bottom w:w="130" w:type="dxa"/>
              <w:end w:w="150" w:type="dxa"/>
            </w:tcMar>
          </w:tcPr>
          <w:p>
            <w:pPr>
              <w:spacing w:after="40"/>
              <w:jc w:val="center"/>
            </w:pPr>
            <w:r>
              <w:rPr>
                <w:rFonts w:ascii="Calibri" w:hAnsi="Calibri"/>
                <w:b/>
                <w:color w:val="142837"/>
                <w:sz w:val="21"/>
              </w:rPr>
              <w:t>VERIFY</w:t>
            </w:r>
          </w:p>
          <w:p>
            <w:pPr>
              <w:spacing w:after="0"/>
              <w:jc w:val="center"/>
            </w:pPr>
            <w:r>
              <w:rPr>
                <w:rFonts w:ascii="Calibri" w:hAnsi="Calibri"/>
                <w:color w:val="142837"/>
                <w:sz w:val="18"/>
              </w:rPr>
              <w:t>Check integrity, access outcome, performance and immutable audit evidence</w:t>
            </w:r>
          </w:p>
        </w:tc>
      </w:tr>
    </w:tbl>
    <w:p>
      <w:pPr>
        <w:pStyle w:val="Heading1"/>
        <w:keepNext/>
        <w:spacing w:before="200" w:after="80"/>
      </w:pPr>
      <w:r>
        <w:rPr>
          <w:rFonts w:ascii="Calibri" w:hAnsi="Calibri"/>
          <w:b/>
          <w:color w:val="143755"/>
          <w:sz w:val="30"/>
        </w:rPr>
        <w:t>4. Intelligent Storage Hierarchy</w:t>
      </w:r>
    </w:p>
    <w:p>
      <w:pPr>
        <w:keepNext w:val="0"/>
        <w:spacing w:after="80" w:line="247" w:lineRule="auto"/>
      </w:pPr>
      <w:r>
        <w:rPr>
          <w:rFonts w:ascii="Calibri" w:hAnsi="Calibri"/>
          <w:sz w:val="21"/>
        </w:rPr>
        <w:t>SSD and flash should not be treated as distinct media classes because enterprise NVMe SSDs themselves use NAND flash. The architecture therefore distinguishes tiers by latency, endurance, density and placement purpose.</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1008"/>
            <w:shd w:fill="163A5F"/>
            <w:vAlign w:val="center"/>
            <w:tcMar>
              <w:top w:w="90" w:type="dxa"/>
              <w:start w:w="110" w:type="dxa"/>
              <w:bottom w:w="90" w:type="dxa"/>
              <w:end w:w="110" w:type="dxa"/>
            </w:tcMar>
          </w:tcPr>
          <w:p>
            <w:pPr>
              <w:jc w:val="center"/>
            </w:pPr>
            <w:r>
              <w:rPr>
                <w:rFonts w:ascii="Calibri" w:hAnsi="Calibri"/>
                <w:b/>
                <w:color w:val="FFFFFF"/>
                <w:sz w:val="19"/>
              </w:rPr>
              <w:t>Tier</w:t>
            </w:r>
          </w:p>
        </w:tc>
        <w:tc>
          <w:tcPr>
            <w:tcW w:type="dxa" w:w="2880"/>
            <w:shd w:fill="163A5F"/>
            <w:vAlign w:val="center"/>
            <w:tcMar>
              <w:top w:w="90" w:type="dxa"/>
              <w:start w:w="110" w:type="dxa"/>
              <w:bottom w:w="90" w:type="dxa"/>
              <w:end w:w="110" w:type="dxa"/>
            </w:tcMar>
          </w:tcPr>
          <w:p>
            <w:pPr>
              <w:jc w:val="center"/>
            </w:pPr>
            <w:r>
              <w:rPr>
                <w:rFonts w:ascii="Calibri" w:hAnsi="Calibri"/>
                <w:b/>
                <w:color w:val="FFFFFF"/>
                <w:sz w:val="19"/>
              </w:rPr>
              <w:t>Technology</w:t>
            </w:r>
          </w:p>
        </w:tc>
        <w:tc>
          <w:tcPr>
            <w:tcW w:type="dxa" w:w="6192"/>
            <w:shd w:fill="163A5F"/>
            <w:vAlign w:val="center"/>
            <w:tcMar>
              <w:top w:w="90" w:type="dxa"/>
              <w:start w:w="110" w:type="dxa"/>
              <w:bottom w:w="90" w:type="dxa"/>
              <w:end w:w="110" w:type="dxa"/>
            </w:tcMar>
          </w:tcPr>
          <w:p>
            <w:pPr>
              <w:jc w:val="center"/>
            </w:pPr>
            <w:r>
              <w:rPr>
                <w:rFonts w:ascii="Calibri" w:hAnsi="Calibri"/>
                <w:b/>
                <w:color w:val="FFFFFF"/>
                <w:sz w:val="19"/>
              </w:rPr>
              <w:t>Primary Workloads</w:t>
            </w:r>
          </w:p>
        </w:tc>
      </w:tr>
      <w:tr>
        <w:tc>
          <w:tcPr>
            <w:tcW w:type="dxa" w:w="1008"/>
            <w:tcMar>
              <w:top w:w="90" w:type="dxa"/>
              <w:start w:w="110" w:type="dxa"/>
              <w:bottom w:w="90" w:type="dxa"/>
              <w:end w:w="110" w:type="dxa"/>
            </w:tcMar>
            <w:vAlign w:val="center"/>
          </w:tcPr>
          <w:p>
            <w:pPr>
              <w:spacing w:after="0"/>
            </w:pPr>
            <w:r>
              <w:rPr>
                <w:rFonts w:ascii="Calibri" w:hAnsi="Calibri"/>
                <w:sz w:val="18"/>
              </w:rPr>
              <w:t>Tier 0</w:t>
            </w:r>
          </w:p>
        </w:tc>
        <w:tc>
          <w:tcPr>
            <w:tcW w:type="dxa" w:w="2880"/>
            <w:tcMar>
              <w:top w:w="90" w:type="dxa"/>
              <w:start w:w="110" w:type="dxa"/>
              <w:bottom w:w="90" w:type="dxa"/>
              <w:end w:w="110" w:type="dxa"/>
            </w:tcMar>
            <w:vAlign w:val="center"/>
          </w:tcPr>
          <w:p>
            <w:pPr>
              <w:spacing w:after="0"/>
            </w:pPr>
            <w:r>
              <w:rPr>
                <w:rFonts w:ascii="Calibri" w:hAnsi="Calibri"/>
                <w:sz w:val="18"/>
              </w:rPr>
              <w:t>GPU memory and host DRAM</w:t>
            </w:r>
          </w:p>
        </w:tc>
        <w:tc>
          <w:tcPr>
            <w:tcW w:type="dxa" w:w="6192"/>
            <w:tcMar>
              <w:top w:w="90" w:type="dxa"/>
              <w:start w:w="110" w:type="dxa"/>
              <w:bottom w:w="90" w:type="dxa"/>
              <w:end w:w="110" w:type="dxa"/>
            </w:tcMar>
            <w:vAlign w:val="center"/>
          </w:tcPr>
          <w:p>
            <w:pPr>
              <w:spacing w:after="0"/>
            </w:pPr>
            <w:r>
              <w:rPr>
                <w:rFonts w:ascii="Calibri" w:hAnsi="Calibri"/>
                <w:sz w:val="18"/>
              </w:rPr>
              <w:t>Active tensor data, inference state and immediate compute working sets.</w:t>
            </w:r>
          </w:p>
        </w:tc>
      </w:tr>
      <w:tr>
        <w:tc>
          <w:tcPr>
            <w:tcW w:type="dxa" w:w="1008"/>
            <w:tcMar>
              <w:top w:w="90" w:type="dxa"/>
              <w:start w:w="110" w:type="dxa"/>
              <w:bottom w:w="90" w:type="dxa"/>
              <w:end w:w="110" w:type="dxa"/>
            </w:tcMar>
            <w:vAlign w:val="center"/>
            <w:shd w:fill="EAF0F5"/>
          </w:tcPr>
          <w:p>
            <w:pPr>
              <w:spacing w:after="0"/>
            </w:pPr>
            <w:r>
              <w:rPr>
                <w:rFonts w:ascii="Calibri" w:hAnsi="Calibri"/>
                <w:sz w:val="18"/>
              </w:rPr>
              <w:t>Tier 1</w:t>
            </w:r>
          </w:p>
        </w:tc>
        <w:tc>
          <w:tcPr>
            <w:tcW w:type="dxa" w:w="2880"/>
            <w:tcMar>
              <w:top w:w="90" w:type="dxa"/>
              <w:start w:w="110" w:type="dxa"/>
              <w:bottom w:w="90" w:type="dxa"/>
              <w:end w:w="110" w:type="dxa"/>
            </w:tcMar>
            <w:vAlign w:val="center"/>
            <w:shd w:fill="EAF0F5"/>
          </w:tcPr>
          <w:p>
            <w:pPr>
              <w:spacing w:after="0"/>
            </w:pPr>
            <w:r>
              <w:rPr>
                <w:rFonts w:ascii="Calibri" w:hAnsi="Calibri"/>
                <w:sz w:val="18"/>
              </w:rPr>
              <w:t>Storage-node DRAM or SCM cache</w:t>
            </w:r>
          </w:p>
        </w:tc>
        <w:tc>
          <w:tcPr>
            <w:tcW w:type="dxa" w:w="6192"/>
            <w:tcMar>
              <w:top w:w="90" w:type="dxa"/>
              <w:start w:w="110" w:type="dxa"/>
              <w:bottom w:w="90" w:type="dxa"/>
              <w:end w:w="110" w:type="dxa"/>
            </w:tcMar>
            <w:vAlign w:val="center"/>
            <w:shd w:fill="EAF0F5"/>
          </w:tcPr>
          <w:p>
            <w:pPr>
              <w:spacing w:after="0"/>
            </w:pPr>
            <w:r>
              <w:rPr>
                <w:rFonts w:ascii="Calibri" w:hAnsi="Calibri"/>
                <w:sz w:val="18"/>
              </w:rPr>
              <w:t>Metadata, hot blocks, write buffering and low-latency indexes.</w:t>
            </w:r>
          </w:p>
        </w:tc>
      </w:tr>
      <w:tr>
        <w:tc>
          <w:tcPr>
            <w:tcW w:type="dxa" w:w="1008"/>
            <w:tcMar>
              <w:top w:w="90" w:type="dxa"/>
              <w:start w:w="110" w:type="dxa"/>
              <w:bottom w:w="90" w:type="dxa"/>
              <w:end w:w="110" w:type="dxa"/>
            </w:tcMar>
            <w:vAlign w:val="center"/>
          </w:tcPr>
          <w:p>
            <w:pPr>
              <w:spacing w:after="0"/>
            </w:pPr>
            <w:r>
              <w:rPr>
                <w:rFonts w:ascii="Calibri" w:hAnsi="Calibri"/>
                <w:sz w:val="18"/>
              </w:rPr>
              <w:t>Tier 2</w:t>
            </w:r>
          </w:p>
        </w:tc>
        <w:tc>
          <w:tcPr>
            <w:tcW w:type="dxa" w:w="2880"/>
            <w:tcMar>
              <w:top w:w="90" w:type="dxa"/>
              <w:start w:w="110" w:type="dxa"/>
              <w:bottom w:w="90" w:type="dxa"/>
              <w:end w:w="110" w:type="dxa"/>
            </w:tcMar>
            <w:vAlign w:val="center"/>
          </w:tcPr>
          <w:p>
            <w:pPr>
              <w:spacing w:after="0"/>
            </w:pPr>
            <w:r>
              <w:rPr>
                <w:rFonts w:ascii="Calibri" w:hAnsi="Calibri"/>
                <w:sz w:val="18"/>
              </w:rPr>
              <w:t>High-performance NVMe SSD</w:t>
            </w:r>
          </w:p>
        </w:tc>
        <w:tc>
          <w:tcPr>
            <w:tcW w:type="dxa" w:w="6192"/>
            <w:tcMar>
              <w:top w:w="90" w:type="dxa"/>
              <w:start w:w="110" w:type="dxa"/>
              <w:bottom w:w="90" w:type="dxa"/>
              <w:end w:w="110" w:type="dxa"/>
            </w:tcMar>
            <w:vAlign w:val="center"/>
          </w:tcPr>
          <w:p>
            <w:pPr>
              <w:spacing w:after="0"/>
            </w:pPr>
            <w:r>
              <w:rPr>
                <w:rFonts w:ascii="Calibri" w:hAnsi="Calibri"/>
                <w:sz w:val="18"/>
              </w:rPr>
              <w:t>Training datasets, checkpoints, vector indexes and active model files.</w:t>
            </w:r>
          </w:p>
        </w:tc>
      </w:tr>
      <w:tr>
        <w:tc>
          <w:tcPr>
            <w:tcW w:type="dxa" w:w="1008"/>
            <w:tcMar>
              <w:top w:w="90" w:type="dxa"/>
              <w:start w:w="110" w:type="dxa"/>
              <w:bottom w:w="90" w:type="dxa"/>
              <w:end w:w="110" w:type="dxa"/>
            </w:tcMar>
            <w:vAlign w:val="center"/>
            <w:shd w:fill="EAF0F5"/>
          </w:tcPr>
          <w:p>
            <w:pPr>
              <w:spacing w:after="0"/>
            </w:pPr>
            <w:r>
              <w:rPr>
                <w:rFonts w:ascii="Calibri" w:hAnsi="Calibri"/>
                <w:sz w:val="18"/>
              </w:rPr>
              <w:t>Tier 3</w:t>
            </w:r>
          </w:p>
        </w:tc>
        <w:tc>
          <w:tcPr>
            <w:tcW w:type="dxa" w:w="2880"/>
            <w:tcMar>
              <w:top w:w="90" w:type="dxa"/>
              <w:start w:w="110" w:type="dxa"/>
              <w:bottom w:w="90" w:type="dxa"/>
              <w:end w:w="110" w:type="dxa"/>
            </w:tcMar>
            <w:vAlign w:val="center"/>
            <w:shd w:fill="EAF0F5"/>
          </w:tcPr>
          <w:p>
            <w:pPr>
              <w:spacing w:after="0"/>
            </w:pPr>
            <w:r>
              <w:rPr>
                <w:rFonts w:ascii="Calibri" w:hAnsi="Calibri"/>
                <w:sz w:val="18"/>
              </w:rPr>
              <w:t>Dense-capacity NVMe flash</w:t>
            </w:r>
          </w:p>
        </w:tc>
        <w:tc>
          <w:tcPr>
            <w:tcW w:type="dxa" w:w="6192"/>
            <w:tcMar>
              <w:top w:w="90" w:type="dxa"/>
              <w:start w:w="110" w:type="dxa"/>
              <w:bottom w:w="90" w:type="dxa"/>
              <w:end w:w="110" w:type="dxa"/>
            </w:tcMar>
            <w:vAlign w:val="center"/>
            <w:shd w:fill="EAF0F5"/>
          </w:tcPr>
          <w:p>
            <w:pPr>
              <w:spacing w:after="0"/>
            </w:pPr>
            <w:r>
              <w:rPr>
                <w:rFonts w:ascii="Calibri" w:hAnsi="Calibri"/>
                <w:sz w:val="18"/>
              </w:rPr>
              <w:t>Model libraries, historical data and warm datasets.</w:t>
            </w:r>
          </w:p>
        </w:tc>
      </w:tr>
      <w:tr>
        <w:tc>
          <w:tcPr>
            <w:tcW w:type="dxa" w:w="1008"/>
            <w:tcMar>
              <w:top w:w="90" w:type="dxa"/>
              <w:start w:w="110" w:type="dxa"/>
              <w:bottom w:w="90" w:type="dxa"/>
              <w:end w:w="110" w:type="dxa"/>
            </w:tcMar>
            <w:vAlign w:val="center"/>
          </w:tcPr>
          <w:p>
            <w:pPr>
              <w:spacing w:after="0"/>
            </w:pPr>
            <w:r>
              <w:rPr>
                <w:rFonts w:ascii="Calibri" w:hAnsi="Calibri"/>
                <w:sz w:val="18"/>
              </w:rPr>
              <w:t>Tier 4</w:t>
            </w:r>
          </w:p>
        </w:tc>
        <w:tc>
          <w:tcPr>
            <w:tcW w:type="dxa" w:w="2880"/>
            <w:tcMar>
              <w:top w:w="90" w:type="dxa"/>
              <w:start w:w="110" w:type="dxa"/>
              <w:bottom w:w="90" w:type="dxa"/>
              <w:end w:w="110" w:type="dxa"/>
            </w:tcMar>
            <w:vAlign w:val="center"/>
          </w:tcPr>
          <w:p>
            <w:pPr>
              <w:spacing w:after="0"/>
            </w:pPr>
            <w:r>
              <w:rPr>
                <w:rFonts w:ascii="Calibri" w:hAnsi="Calibri"/>
                <w:sz w:val="18"/>
              </w:rPr>
              <w:t>S3-compatible object storage</w:t>
            </w:r>
          </w:p>
        </w:tc>
        <w:tc>
          <w:tcPr>
            <w:tcW w:type="dxa" w:w="6192"/>
            <w:tcMar>
              <w:top w:w="90" w:type="dxa"/>
              <w:start w:w="110" w:type="dxa"/>
              <w:bottom w:w="90" w:type="dxa"/>
              <w:end w:w="110" w:type="dxa"/>
            </w:tcMar>
            <w:vAlign w:val="center"/>
          </w:tcPr>
          <w:p>
            <w:pPr>
              <w:spacing w:after="0"/>
            </w:pPr>
            <w:r>
              <w:rPr>
                <w:rFonts w:ascii="Calibri" w:hAnsi="Calibri"/>
                <w:sz w:val="18"/>
              </w:rPr>
              <w:t>Archive, retained datasets, secondary copies and cost-optimized capacity.</w:t>
            </w:r>
          </w:p>
        </w:tc>
      </w:tr>
    </w:tbl>
    <w:p>
      <w:pPr>
        <w:spacing w:after="80" w:line="247" w:lineRule="auto"/>
      </w:pPr>
    </w:p>
    <w:p>
      <w:pPr>
        <w:pStyle w:val="Heading2"/>
        <w:keepNext/>
        <w:spacing w:before="200" w:after="80"/>
      </w:pPr>
      <w:r>
        <w:rPr>
          <w:rFonts w:ascii="Calibri" w:hAnsi="Calibri"/>
          <w:b/>
          <w:color w:val="225870"/>
          <w:sz w:val="24"/>
        </w:rPr>
        <w:t>Data-Placement Policy</w:t>
      </w:r>
    </w:p>
    <w:p>
      <w:pPr>
        <w:keepNext w:val="0"/>
        <w:spacing w:after="80" w:line="247" w:lineRule="auto"/>
      </w:pPr>
      <w:r>
        <w:rPr>
          <w:rFonts w:ascii="Calibri" w:hAnsi="Calibri"/>
          <w:sz w:val="21"/>
        </w:rPr>
        <w:t>The data engine evaluates dataset temperature, GPU demand, locality, checkpoint frequency, lineage, cost, recovery requirements and sovereignty. It then prefetches, promotes, demotes or retains data while preserving a stable application namespace.</w:t>
      </w:r>
    </w:p>
    <w:p>
      <w:pPr>
        <w:pStyle w:val="Heading2"/>
        <w:keepNext/>
        <w:spacing w:before="200" w:after="80"/>
      </w:pPr>
      <w:r>
        <w:rPr>
          <w:rFonts w:ascii="Calibri" w:hAnsi="Calibri"/>
          <w:b/>
          <w:color w:val="225870"/>
          <w:sz w:val="24"/>
        </w:rPr>
        <w:t>Protocol and Service Exposure</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160"/>
            <w:shd w:fill="163A5F"/>
            <w:vAlign w:val="center"/>
            <w:tcMar>
              <w:top w:w="90" w:type="dxa"/>
              <w:start w:w="110" w:type="dxa"/>
              <w:bottom w:w="90" w:type="dxa"/>
              <w:end w:w="110" w:type="dxa"/>
            </w:tcMar>
          </w:tcPr>
          <w:p>
            <w:pPr>
              <w:jc w:val="center"/>
            </w:pPr>
            <w:r>
              <w:rPr>
                <w:rFonts w:ascii="Calibri" w:hAnsi="Calibri"/>
                <w:b/>
                <w:color w:val="FFFFFF"/>
                <w:sz w:val="19"/>
              </w:rPr>
              <w:t>Interface</w:t>
            </w:r>
          </w:p>
        </w:tc>
        <w:tc>
          <w:tcPr>
            <w:tcW w:type="dxa" w:w="7920"/>
            <w:shd w:fill="163A5F"/>
            <w:vAlign w:val="center"/>
            <w:tcMar>
              <w:top w:w="90" w:type="dxa"/>
              <w:start w:w="110" w:type="dxa"/>
              <w:bottom w:w="90" w:type="dxa"/>
              <w:end w:w="110" w:type="dxa"/>
            </w:tcMar>
          </w:tcPr>
          <w:p>
            <w:pPr>
              <w:jc w:val="center"/>
            </w:pPr>
            <w:r>
              <w:rPr>
                <w:rFonts w:ascii="Calibri" w:hAnsi="Calibri"/>
                <w:b/>
                <w:color w:val="FFFFFF"/>
                <w:sz w:val="19"/>
              </w:rPr>
              <w:t>Purpose</w:t>
            </w:r>
          </w:p>
        </w:tc>
      </w:tr>
      <w:tr>
        <w:tc>
          <w:tcPr>
            <w:tcW w:type="dxa" w:w="2160"/>
            <w:tcMar>
              <w:top w:w="90" w:type="dxa"/>
              <w:start w:w="110" w:type="dxa"/>
              <w:bottom w:w="90" w:type="dxa"/>
              <w:end w:w="110" w:type="dxa"/>
            </w:tcMar>
            <w:vAlign w:val="center"/>
          </w:tcPr>
          <w:p>
            <w:pPr>
              <w:spacing w:after="0"/>
            </w:pPr>
            <w:r>
              <w:rPr>
                <w:rFonts w:ascii="Calibri" w:hAnsi="Calibri"/>
                <w:sz w:val="18"/>
              </w:rPr>
              <w:t>POSIX / parallel file</w:t>
            </w:r>
          </w:p>
        </w:tc>
        <w:tc>
          <w:tcPr>
            <w:tcW w:type="dxa" w:w="7920"/>
            <w:tcMar>
              <w:top w:w="90" w:type="dxa"/>
              <w:start w:w="110" w:type="dxa"/>
              <w:bottom w:w="90" w:type="dxa"/>
              <w:end w:w="110" w:type="dxa"/>
            </w:tcMar>
            <w:vAlign w:val="center"/>
          </w:tcPr>
          <w:p>
            <w:pPr>
              <w:spacing w:after="0"/>
            </w:pPr>
            <w:r>
              <w:rPr>
                <w:rFonts w:ascii="Calibri" w:hAnsi="Calibri"/>
                <w:sz w:val="18"/>
              </w:rPr>
              <w:t>High-performance AI training and analytics.</w:t>
            </w:r>
          </w:p>
        </w:tc>
      </w:tr>
      <w:tr>
        <w:tc>
          <w:tcPr>
            <w:tcW w:type="dxa" w:w="2160"/>
            <w:tcMar>
              <w:top w:w="90" w:type="dxa"/>
              <w:start w:w="110" w:type="dxa"/>
              <w:bottom w:w="90" w:type="dxa"/>
              <w:end w:w="110" w:type="dxa"/>
            </w:tcMar>
            <w:vAlign w:val="center"/>
            <w:shd w:fill="EAF0F5"/>
          </w:tcPr>
          <w:p>
            <w:pPr>
              <w:spacing w:after="0"/>
            </w:pPr>
            <w:r>
              <w:rPr>
                <w:rFonts w:ascii="Calibri" w:hAnsi="Calibri"/>
                <w:sz w:val="18"/>
              </w:rPr>
              <w:t>NFS / SMB</w:t>
            </w:r>
          </w:p>
        </w:tc>
        <w:tc>
          <w:tcPr>
            <w:tcW w:type="dxa" w:w="7920"/>
            <w:tcMar>
              <w:top w:w="90" w:type="dxa"/>
              <w:start w:w="110" w:type="dxa"/>
              <w:bottom w:w="90" w:type="dxa"/>
              <w:end w:w="110" w:type="dxa"/>
            </w:tcMar>
            <w:vAlign w:val="center"/>
            <w:shd w:fill="EAF0F5"/>
          </w:tcPr>
          <w:p>
            <w:pPr>
              <w:spacing w:after="0"/>
            </w:pPr>
            <w:r>
              <w:rPr>
                <w:rFonts w:ascii="Calibri" w:hAnsi="Calibri"/>
                <w:sz w:val="18"/>
              </w:rPr>
              <w:t>Enterprise application, collaboration and legacy access.</w:t>
            </w:r>
          </w:p>
        </w:tc>
      </w:tr>
      <w:tr>
        <w:tc>
          <w:tcPr>
            <w:tcW w:type="dxa" w:w="2160"/>
            <w:tcMar>
              <w:top w:w="90" w:type="dxa"/>
              <w:start w:w="110" w:type="dxa"/>
              <w:bottom w:w="90" w:type="dxa"/>
              <w:end w:w="110" w:type="dxa"/>
            </w:tcMar>
            <w:vAlign w:val="center"/>
          </w:tcPr>
          <w:p>
            <w:pPr>
              <w:spacing w:after="0"/>
            </w:pPr>
            <w:r>
              <w:rPr>
                <w:rFonts w:ascii="Calibri" w:hAnsi="Calibri"/>
                <w:sz w:val="18"/>
              </w:rPr>
              <w:t>S3 API</w:t>
            </w:r>
          </w:p>
        </w:tc>
        <w:tc>
          <w:tcPr>
            <w:tcW w:type="dxa" w:w="7920"/>
            <w:tcMar>
              <w:top w:w="90" w:type="dxa"/>
              <w:start w:w="110" w:type="dxa"/>
              <w:bottom w:w="90" w:type="dxa"/>
              <w:end w:w="110" w:type="dxa"/>
            </w:tcMar>
            <w:vAlign w:val="center"/>
          </w:tcPr>
          <w:p>
            <w:pPr>
              <w:spacing w:after="0"/>
            </w:pPr>
            <w:r>
              <w:rPr>
                <w:rFonts w:ascii="Calibri" w:hAnsi="Calibri"/>
                <w:sz w:val="18"/>
              </w:rPr>
              <w:t>Object-native AI pipelines, cloud interoperability and archive.</w:t>
            </w:r>
          </w:p>
        </w:tc>
      </w:tr>
      <w:tr>
        <w:tc>
          <w:tcPr>
            <w:tcW w:type="dxa" w:w="2160"/>
            <w:tcMar>
              <w:top w:w="90" w:type="dxa"/>
              <w:start w:w="110" w:type="dxa"/>
              <w:bottom w:w="90" w:type="dxa"/>
              <w:end w:w="110" w:type="dxa"/>
            </w:tcMar>
            <w:vAlign w:val="center"/>
            <w:shd w:fill="EAF0F5"/>
          </w:tcPr>
          <w:p>
            <w:pPr>
              <w:spacing w:after="0"/>
            </w:pPr>
            <w:r>
              <w:rPr>
                <w:rFonts w:ascii="Calibri" w:hAnsi="Calibri"/>
                <w:sz w:val="18"/>
              </w:rPr>
              <w:t>Kubernetes CSI</w:t>
            </w:r>
          </w:p>
        </w:tc>
        <w:tc>
          <w:tcPr>
            <w:tcW w:type="dxa" w:w="7920"/>
            <w:tcMar>
              <w:top w:w="90" w:type="dxa"/>
              <w:start w:w="110" w:type="dxa"/>
              <w:bottom w:w="90" w:type="dxa"/>
              <w:end w:w="110" w:type="dxa"/>
            </w:tcMar>
            <w:vAlign w:val="center"/>
            <w:shd w:fill="EAF0F5"/>
          </w:tcPr>
          <w:p>
            <w:pPr>
              <w:spacing w:after="0"/>
            </w:pPr>
            <w:r>
              <w:rPr>
                <w:rFonts w:ascii="Calibri" w:hAnsi="Calibri"/>
                <w:sz w:val="18"/>
              </w:rPr>
              <w:t>Persistent storage for containerized AI workloads.</w:t>
            </w:r>
          </w:p>
        </w:tc>
      </w:tr>
      <w:tr>
        <w:tc>
          <w:tcPr>
            <w:tcW w:type="dxa" w:w="2160"/>
            <w:tcMar>
              <w:top w:w="90" w:type="dxa"/>
              <w:start w:w="110" w:type="dxa"/>
              <w:bottom w:w="90" w:type="dxa"/>
              <w:end w:w="110" w:type="dxa"/>
            </w:tcMar>
            <w:vAlign w:val="center"/>
          </w:tcPr>
          <w:p>
            <w:pPr>
              <w:spacing w:after="0"/>
            </w:pPr>
            <w:r>
              <w:rPr>
                <w:rFonts w:ascii="Calibri" w:hAnsi="Calibri"/>
                <w:sz w:val="18"/>
              </w:rPr>
              <w:t>Management API</w:t>
            </w:r>
          </w:p>
        </w:tc>
        <w:tc>
          <w:tcPr>
            <w:tcW w:type="dxa" w:w="7920"/>
            <w:tcMar>
              <w:top w:w="90" w:type="dxa"/>
              <w:start w:w="110" w:type="dxa"/>
              <w:bottom w:w="90" w:type="dxa"/>
              <w:end w:w="110" w:type="dxa"/>
            </w:tcMar>
            <w:vAlign w:val="center"/>
          </w:tcPr>
          <w:p>
            <w:pPr>
              <w:spacing w:after="0"/>
            </w:pPr>
            <w:r>
              <w:rPr>
                <w:rFonts w:ascii="Calibri" w:hAnsi="Calibri"/>
                <w:sz w:val="18"/>
              </w:rPr>
              <w:t>Automation, provisioning, telemetry, FinOps and policy orchestration.</w:t>
            </w:r>
          </w:p>
        </w:tc>
      </w:tr>
    </w:tbl>
    <w:p>
      <w:pPr>
        <w:spacing w:after="80" w:line="247" w:lineRule="auto"/>
      </w:pPr>
    </w:p>
    <w:p>
      <w:pPr>
        <w:pStyle w:val="Heading1"/>
        <w:keepNext/>
        <w:spacing w:before="200" w:after="80"/>
      </w:pPr>
      <w:r>
        <w:rPr>
          <w:rFonts w:ascii="Calibri" w:hAnsi="Calibri"/>
          <w:b/>
          <w:color w:val="143755"/>
          <w:sz w:val="30"/>
        </w:rPr>
        <w:t>5. Embedded Zero-Trust Data Protection</w:t>
      </w:r>
    </w:p>
    <w:p>
      <w:pPr>
        <w:keepNext w:val="0"/>
        <w:spacing w:after="80" w:line="247" w:lineRule="auto"/>
      </w:pPr>
      <w:r>
        <w:rPr>
          <w:rFonts w:ascii="Calibri" w:hAnsi="Calibri"/>
          <w:sz w:val="21"/>
        </w:rPr>
        <w:t>The appliance embeds a policy-driven protection algorithm that goes beyond encryption. Every request is evaluated using identity, MFA state, workload identity, device posture, business purpose, data classification, location, behavior and destination risk.</w:t>
      </w:r>
    </w:p>
    <w:p>
      <w:pPr>
        <w:pStyle w:val="Heading2"/>
        <w:keepNext/>
        <w:spacing w:before="200" w:after="80"/>
      </w:pPr>
      <w:r>
        <w:rPr>
          <w:rFonts w:ascii="Calibri" w:hAnsi="Calibri"/>
          <w:b/>
          <w:color w:val="225870"/>
          <w:sz w:val="24"/>
        </w:rPr>
        <w:t>Secure Data Access Flow</w:t>
      </w:r>
    </w:p>
    <w:tbl>
      <w:tblPr>
        <w:tblW w:type="auto" w:w="0"/>
        <w:jc w:val="center"/>
        <w:tblLook w:firstColumn="1" w:firstRow="1" w:lastColumn="0" w:lastRow="0" w:noHBand="0" w:noVBand="1" w:val="04A0"/>
      </w:tblPr>
      <w:tblGrid>
        <w:gridCol w:w="10166"/>
      </w:tblGrid>
      <w:tr>
        <w:tc>
          <w:tcPr>
            <w:tcW w:type="dxa" w:w="10166"/>
            <w:shd w:fill="163A5F"/>
            <w:tcMar>
              <w:top w:w="130" w:type="dxa"/>
              <w:start w:w="150" w:type="dxa"/>
              <w:bottom w:w="130" w:type="dxa"/>
              <w:end w:w="150" w:type="dxa"/>
            </w:tcMar>
          </w:tcPr>
          <w:p>
            <w:pPr>
              <w:spacing w:after="40"/>
              <w:jc w:val="center"/>
            </w:pPr>
            <w:r>
              <w:rPr>
                <w:rFonts w:ascii="Calibri" w:hAnsi="Calibri"/>
                <w:b/>
                <w:color w:val="FFFFFF"/>
                <w:sz w:val="21"/>
              </w:rPr>
              <w:t>IDENTITY VERIFICATION</w:t>
            </w:r>
          </w:p>
          <w:p>
            <w:pPr>
              <w:spacing w:after="0"/>
              <w:jc w:val="center"/>
            </w:pPr>
            <w:r>
              <w:rPr>
                <w:rFonts w:ascii="Calibri" w:hAnsi="Calibri"/>
                <w:color w:val="FFFFFF"/>
                <w:sz w:val="18"/>
              </w:rPr>
              <w:t>MFA • device trust • workload identity • certificate validation</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45B78"/>
            <w:tcMar>
              <w:top w:w="130" w:type="dxa"/>
              <w:start w:w="150" w:type="dxa"/>
              <w:bottom w:w="130" w:type="dxa"/>
              <w:end w:w="150" w:type="dxa"/>
            </w:tcMar>
          </w:tcPr>
          <w:p>
            <w:pPr>
              <w:spacing w:after="40"/>
              <w:jc w:val="center"/>
            </w:pPr>
            <w:r>
              <w:rPr>
                <w:rFonts w:ascii="Calibri" w:hAnsi="Calibri"/>
                <w:b/>
                <w:color w:val="FFFFFF"/>
                <w:sz w:val="21"/>
              </w:rPr>
              <w:t>POLICY DECISION</w:t>
            </w:r>
          </w:p>
          <w:p>
            <w:pPr>
              <w:spacing w:after="0"/>
              <w:jc w:val="center"/>
            </w:pPr>
            <w:r>
              <w:rPr>
                <w:rFonts w:ascii="Calibri" w:hAnsi="Calibri"/>
                <w:color w:val="FFFFFF"/>
                <w:sz w:val="18"/>
              </w:rPr>
              <w:t>Role • attribute • purpose • classification • residency • risk score</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F6B79"/>
            <w:tcMar>
              <w:top w:w="130" w:type="dxa"/>
              <w:start w:w="150" w:type="dxa"/>
              <w:bottom w:w="130" w:type="dxa"/>
              <w:end w:w="150" w:type="dxa"/>
            </w:tcMar>
          </w:tcPr>
          <w:p>
            <w:pPr>
              <w:spacing w:after="40"/>
              <w:jc w:val="center"/>
            </w:pPr>
            <w:r>
              <w:rPr>
                <w:rFonts w:ascii="Calibri" w:hAnsi="Calibri"/>
                <w:b/>
                <w:color w:val="FFFFFF"/>
                <w:sz w:val="21"/>
              </w:rPr>
              <w:t>DATA PROTECTION</w:t>
            </w:r>
          </w:p>
          <w:p>
            <w:pPr>
              <w:spacing w:after="0"/>
              <w:jc w:val="center"/>
            </w:pPr>
            <w:r>
              <w:rPr>
                <w:rFonts w:ascii="Calibri" w:hAnsi="Calibri"/>
                <w:color w:val="FFFFFF"/>
                <w:sz w:val="18"/>
              </w:rPr>
              <w:t>Encrypt • mask • tokenize • pseudonymize • redact • watermark</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D9E8EC"/>
            <w:tcMar>
              <w:top w:w="130" w:type="dxa"/>
              <w:start w:w="150" w:type="dxa"/>
              <w:bottom w:w="130" w:type="dxa"/>
              <w:end w:w="150" w:type="dxa"/>
            </w:tcMar>
          </w:tcPr>
          <w:p>
            <w:pPr>
              <w:spacing w:after="40"/>
              <w:jc w:val="center"/>
            </w:pPr>
            <w:r>
              <w:rPr>
                <w:rFonts w:ascii="Calibri" w:hAnsi="Calibri"/>
                <w:b/>
                <w:color w:val="142837"/>
                <w:sz w:val="21"/>
              </w:rPr>
              <w:t>AUTHORIZED REPRESENTATION</w:t>
            </w:r>
          </w:p>
          <w:p>
            <w:pPr>
              <w:spacing w:after="0"/>
              <w:jc w:val="center"/>
            </w:pPr>
            <w:r>
              <w:rPr>
                <w:rFonts w:ascii="Calibri" w:hAnsi="Calibri"/>
                <w:color w:val="142837"/>
                <w:sz w:val="18"/>
              </w:rPr>
              <w:t>Full data • partial view • aggregate • synthetic data • deny</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EAF0F5"/>
            <w:tcMar>
              <w:top w:w="130" w:type="dxa"/>
              <w:start w:w="150" w:type="dxa"/>
              <w:bottom w:w="130" w:type="dxa"/>
              <w:end w:w="150" w:type="dxa"/>
            </w:tcMar>
          </w:tcPr>
          <w:p>
            <w:pPr>
              <w:spacing w:after="40"/>
              <w:jc w:val="center"/>
            </w:pPr>
            <w:r>
              <w:rPr>
                <w:rFonts w:ascii="Calibri" w:hAnsi="Calibri"/>
                <w:b/>
                <w:color w:val="142837"/>
                <w:sz w:val="21"/>
              </w:rPr>
              <w:t>CONTINUOUS ASSURANCE</w:t>
            </w:r>
          </w:p>
          <w:p>
            <w:pPr>
              <w:spacing w:after="0"/>
              <w:jc w:val="center"/>
            </w:pPr>
            <w:r>
              <w:rPr>
                <w:rFonts w:ascii="Calibri" w:hAnsi="Calibri"/>
                <w:color w:val="142837"/>
                <w:sz w:val="18"/>
              </w:rPr>
              <w:t>Behavior analytics • session revocation • immutable audit • SIEM</w:t>
            </w:r>
          </w:p>
        </w:tc>
      </w:tr>
    </w:tbl>
    <w:p>
      <w:pPr>
        <w:pStyle w:val="Heading2"/>
        <w:keepNext/>
        <w:spacing w:before="200" w:after="80"/>
      </w:pPr>
      <w:r>
        <w:rPr>
          <w:rFonts w:ascii="Calibri" w:hAnsi="Calibri"/>
          <w:b/>
          <w:color w:val="225870"/>
          <w:sz w:val="24"/>
        </w:rPr>
        <w:t>Protection Algorithm</w:t>
      </w:r>
    </w:p>
    <w:p>
      <w:pPr>
        <w:keepNext w:val="0"/>
        <w:spacing w:after="80" w:line="247" w:lineRule="auto"/>
      </w:pPr>
      <w:r>
        <w:rPr>
          <w:rFonts w:ascii="Calibri" w:hAnsi="Calibri"/>
          <w:sz w:val="21"/>
        </w:rPr>
        <w:t>1. Verify the user, application or AI agent using MFA or cryptographic workload identity.</w:t>
      </w:r>
    </w:p>
    <w:p>
      <w:pPr>
        <w:keepNext w:val="0"/>
        <w:spacing w:after="80" w:line="247" w:lineRule="auto"/>
      </w:pPr>
      <w:r>
        <w:rPr>
          <w:rFonts w:ascii="Calibri" w:hAnsi="Calibri"/>
          <w:sz w:val="21"/>
        </w:rPr>
        <w:t>2. Calculate contextual risk using behavior, device trust, location, request volume and data sensitivity.</w:t>
      </w:r>
    </w:p>
    <w:p>
      <w:pPr>
        <w:keepNext w:val="0"/>
        <w:spacing w:after="80" w:line="247" w:lineRule="auto"/>
      </w:pPr>
      <w:r>
        <w:rPr>
          <w:rFonts w:ascii="Calibri" w:hAnsi="Calibri"/>
          <w:sz w:val="21"/>
        </w:rPr>
        <w:t>3. Classify the dataset and retrieve its access, privacy, residency and retention policies.</w:t>
      </w:r>
    </w:p>
    <w:p>
      <w:pPr>
        <w:keepNext w:val="0"/>
        <w:spacing w:after="80" w:line="247" w:lineRule="auto"/>
      </w:pPr>
      <w:r>
        <w:rPr>
          <w:rFonts w:ascii="Calibri" w:hAnsi="Calibri"/>
          <w:sz w:val="21"/>
        </w:rPr>
        <w:t>4. Require step-up MFA when risk exceeds the permitted threshold.</w:t>
      </w:r>
    </w:p>
    <w:p>
      <w:pPr>
        <w:keepNext w:val="0"/>
        <w:spacing w:after="80" w:line="247" w:lineRule="auto"/>
      </w:pPr>
      <w:r>
        <w:rPr>
          <w:rFonts w:ascii="Calibri" w:hAnsi="Calibri"/>
          <w:sz w:val="21"/>
        </w:rPr>
        <w:t>5. Deny unauthorized access and write an immutable security event.</w:t>
      </w:r>
    </w:p>
    <w:p>
      <w:pPr>
        <w:keepNext w:val="0"/>
        <w:spacing w:after="80" w:line="247" w:lineRule="auto"/>
      </w:pPr>
      <w:r>
        <w:rPr>
          <w:rFonts w:ascii="Calibri" w:hAnsi="Calibri"/>
          <w:sz w:val="21"/>
        </w:rPr>
        <w:t>6. Obtain a tenant- and session-scoped ephemeral encryption key.</w:t>
      </w:r>
    </w:p>
    <w:p>
      <w:pPr>
        <w:keepNext w:val="0"/>
        <w:spacing w:after="80" w:line="247" w:lineRule="auto"/>
      </w:pPr>
      <w:r>
        <w:rPr>
          <w:rFonts w:ascii="Calibri" w:hAnsi="Calibri"/>
          <w:sz w:val="21"/>
        </w:rPr>
        <w:t>7. Decrypt only authorized data blocks in protected memory.</w:t>
      </w:r>
    </w:p>
    <w:p>
      <w:pPr>
        <w:keepNext w:val="0"/>
        <w:spacing w:after="80" w:line="247" w:lineRule="auto"/>
      </w:pPr>
      <w:r>
        <w:rPr>
          <w:rFonts w:ascii="Calibri" w:hAnsi="Calibri"/>
          <w:sz w:val="21"/>
        </w:rPr>
        <w:t>8. Apply tokenization, masking, redaction, pseudonymization or synthetic substitution at field level.</w:t>
      </w:r>
    </w:p>
    <w:p>
      <w:pPr>
        <w:keepNext w:val="0"/>
        <w:spacing w:after="80" w:line="247" w:lineRule="auto"/>
      </w:pPr>
      <w:r>
        <w:rPr>
          <w:rFonts w:ascii="Calibri" w:hAnsi="Calibri"/>
          <w:sz w:val="21"/>
        </w:rPr>
        <w:t>9. Watermark exports and continuously monitor exfiltration indicators.</w:t>
      </w:r>
    </w:p>
    <w:p>
      <w:pPr>
        <w:keepNext w:val="0"/>
        <w:spacing w:after="80" w:line="247" w:lineRule="auto"/>
      </w:pPr>
      <w:r>
        <w:rPr>
          <w:rFonts w:ascii="Calibri" w:hAnsi="Calibri"/>
          <w:sz w:val="21"/>
        </w:rPr>
        <w:t>10. Revoke the session on anomalous behavior and record the identity, purpose, fields, protection method, risk and destination.</w:t>
      </w:r>
    </w:p>
    <w:p>
      <w:pPr>
        <w:pStyle w:val="Heading2"/>
        <w:keepNext/>
        <w:spacing w:before="200" w:after="80"/>
      </w:pPr>
      <w:r>
        <w:rPr>
          <w:rFonts w:ascii="Calibri" w:hAnsi="Calibri"/>
          <w:b/>
          <w:color w:val="225870"/>
          <w:sz w:val="24"/>
        </w:rPr>
        <w:t>Data Obfuscation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63A5F"/>
            <w:vAlign w:val="center"/>
            <w:tcMar>
              <w:top w:w="90" w:type="dxa"/>
              <w:start w:w="110" w:type="dxa"/>
              <w:bottom w:w="90" w:type="dxa"/>
              <w:end w:w="110" w:type="dxa"/>
            </w:tcMar>
          </w:tcPr>
          <w:p>
            <w:pPr>
              <w:jc w:val="center"/>
            </w:pPr>
            <w:r>
              <w:rPr>
                <w:rFonts w:ascii="Calibri" w:hAnsi="Calibri"/>
                <w:b/>
                <w:color w:val="FFFFFF"/>
                <w:sz w:val="19"/>
              </w:rPr>
              <w:t>Data Type</w:t>
            </w:r>
          </w:p>
        </w:tc>
        <w:tc>
          <w:tcPr>
            <w:tcW w:type="dxa" w:w="7200"/>
            <w:shd w:fill="163A5F"/>
            <w:vAlign w:val="center"/>
            <w:tcMar>
              <w:top w:w="90" w:type="dxa"/>
              <w:start w:w="110" w:type="dxa"/>
              <w:bottom w:w="90" w:type="dxa"/>
              <w:end w:w="110" w:type="dxa"/>
            </w:tcMar>
          </w:tcPr>
          <w:p>
            <w:pPr>
              <w:jc w:val="center"/>
            </w:pPr>
            <w:r>
              <w:rPr>
                <w:rFonts w:ascii="Calibri" w:hAnsi="Calibri"/>
                <w:b/>
                <w:color w:val="FFFFFF"/>
                <w:sz w:val="19"/>
              </w:rPr>
              <w:t>Recommended Protection</w:t>
            </w:r>
          </w:p>
        </w:tc>
      </w:tr>
      <w:tr>
        <w:tc>
          <w:tcPr>
            <w:tcW w:type="dxa" w:w="2880"/>
            <w:tcMar>
              <w:top w:w="90" w:type="dxa"/>
              <w:start w:w="110" w:type="dxa"/>
              <w:bottom w:w="90" w:type="dxa"/>
              <w:end w:w="110" w:type="dxa"/>
            </w:tcMar>
            <w:vAlign w:val="center"/>
          </w:tcPr>
          <w:p>
            <w:pPr>
              <w:spacing w:after="0"/>
            </w:pPr>
            <w:r>
              <w:rPr>
                <w:rFonts w:ascii="Calibri" w:hAnsi="Calibri"/>
                <w:sz w:val="18"/>
              </w:rPr>
              <w:t>Social Security number</w:t>
            </w:r>
          </w:p>
        </w:tc>
        <w:tc>
          <w:tcPr>
            <w:tcW w:type="dxa" w:w="7200"/>
            <w:tcMar>
              <w:top w:w="90" w:type="dxa"/>
              <w:start w:w="110" w:type="dxa"/>
              <w:bottom w:w="90" w:type="dxa"/>
              <w:end w:w="110" w:type="dxa"/>
            </w:tcMar>
            <w:vAlign w:val="center"/>
          </w:tcPr>
          <w:p>
            <w:pPr>
              <w:spacing w:after="0"/>
            </w:pPr>
            <w:r>
              <w:rPr>
                <w:rFonts w:ascii="Calibri" w:hAnsi="Calibri"/>
                <w:sz w:val="18"/>
              </w:rPr>
              <w:t>Tokenization or last-four masking.</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Name and address</w:t>
            </w:r>
          </w:p>
        </w:tc>
        <w:tc>
          <w:tcPr>
            <w:tcW w:type="dxa" w:w="7200"/>
            <w:tcMar>
              <w:top w:w="90" w:type="dxa"/>
              <w:start w:w="110" w:type="dxa"/>
              <w:bottom w:w="90" w:type="dxa"/>
              <w:end w:w="110" w:type="dxa"/>
            </w:tcMar>
            <w:vAlign w:val="center"/>
            <w:shd w:fill="EAF0F5"/>
          </w:tcPr>
          <w:p>
            <w:pPr>
              <w:spacing w:after="0"/>
            </w:pPr>
            <w:r>
              <w:rPr>
                <w:rFonts w:ascii="Calibri" w:hAnsi="Calibri"/>
                <w:sz w:val="18"/>
              </w:rPr>
              <w:t>Pseudonymization with controlled re-identification.</w:t>
            </w:r>
          </w:p>
        </w:tc>
      </w:tr>
      <w:tr>
        <w:tc>
          <w:tcPr>
            <w:tcW w:type="dxa" w:w="2880"/>
            <w:tcMar>
              <w:top w:w="90" w:type="dxa"/>
              <w:start w:w="110" w:type="dxa"/>
              <w:bottom w:w="90" w:type="dxa"/>
              <w:end w:w="110" w:type="dxa"/>
            </w:tcMar>
            <w:vAlign w:val="center"/>
          </w:tcPr>
          <w:p>
            <w:pPr>
              <w:spacing w:after="0"/>
            </w:pPr>
            <w:r>
              <w:rPr>
                <w:rFonts w:ascii="Calibri" w:hAnsi="Calibri"/>
                <w:sz w:val="18"/>
              </w:rPr>
              <w:t>Email address</w:t>
            </w:r>
          </w:p>
        </w:tc>
        <w:tc>
          <w:tcPr>
            <w:tcW w:type="dxa" w:w="7200"/>
            <w:tcMar>
              <w:top w:w="90" w:type="dxa"/>
              <w:start w:w="110" w:type="dxa"/>
              <w:bottom w:w="90" w:type="dxa"/>
              <w:end w:w="110" w:type="dxa"/>
            </w:tcMar>
            <w:vAlign w:val="center"/>
          </w:tcPr>
          <w:p>
            <w:pPr>
              <w:spacing w:after="0"/>
            </w:pPr>
            <w:r>
              <w:rPr>
                <w:rFonts w:ascii="Calibri" w:hAnsi="Calibri"/>
                <w:sz w:val="18"/>
              </w:rPr>
              <w:t>Deterministic masking for referential consistency.</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Financial account</w:t>
            </w:r>
          </w:p>
        </w:tc>
        <w:tc>
          <w:tcPr>
            <w:tcW w:type="dxa" w:w="7200"/>
            <w:tcMar>
              <w:top w:w="90" w:type="dxa"/>
              <w:start w:w="110" w:type="dxa"/>
              <w:bottom w:w="90" w:type="dxa"/>
              <w:end w:w="110" w:type="dxa"/>
            </w:tcMar>
            <w:vAlign w:val="center"/>
            <w:shd w:fill="EAF0F5"/>
          </w:tcPr>
          <w:p>
            <w:pPr>
              <w:spacing w:after="0"/>
            </w:pPr>
            <w:r>
              <w:rPr>
                <w:rFonts w:ascii="Calibri" w:hAnsi="Calibri"/>
                <w:sz w:val="18"/>
              </w:rPr>
              <w:t>Format-preserving encryption or vaulted tokenization.</w:t>
            </w:r>
          </w:p>
        </w:tc>
      </w:tr>
      <w:tr>
        <w:tc>
          <w:tcPr>
            <w:tcW w:type="dxa" w:w="2880"/>
            <w:tcMar>
              <w:top w:w="90" w:type="dxa"/>
              <w:start w:w="110" w:type="dxa"/>
              <w:bottom w:w="90" w:type="dxa"/>
              <w:end w:w="110" w:type="dxa"/>
            </w:tcMar>
            <w:vAlign w:val="center"/>
          </w:tcPr>
          <w:p>
            <w:pPr>
              <w:spacing w:after="0"/>
            </w:pPr>
            <w:r>
              <w:rPr>
                <w:rFonts w:ascii="Calibri" w:hAnsi="Calibri"/>
                <w:sz w:val="18"/>
              </w:rPr>
              <w:t>Healthcare information</w:t>
            </w:r>
          </w:p>
        </w:tc>
        <w:tc>
          <w:tcPr>
            <w:tcW w:type="dxa" w:w="7200"/>
            <w:tcMar>
              <w:top w:w="90" w:type="dxa"/>
              <w:start w:w="110" w:type="dxa"/>
              <w:bottom w:w="90" w:type="dxa"/>
              <w:end w:w="110" w:type="dxa"/>
            </w:tcMar>
            <w:vAlign w:val="center"/>
          </w:tcPr>
          <w:p>
            <w:pPr>
              <w:spacing w:after="0"/>
            </w:pPr>
            <w:r>
              <w:rPr>
                <w:rFonts w:ascii="Calibri" w:hAnsi="Calibri"/>
                <w:sz w:val="18"/>
              </w:rPr>
              <w:t>Attribute-level masking and policy-based redaction.</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AI training records</w:t>
            </w:r>
          </w:p>
        </w:tc>
        <w:tc>
          <w:tcPr>
            <w:tcW w:type="dxa" w:w="7200"/>
            <w:tcMar>
              <w:top w:w="90" w:type="dxa"/>
              <w:start w:w="110" w:type="dxa"/>
              <w:bottom w:w="90" w:type="dxa"/>
              <w:end w:w="110" w:type="dxa"/>
            </w:tcMar>
            <w:vAlign w:val="center"/>
            <w:shd w:fill="EAF0F5"/>
          </w:tcPr>
          <w:p>
            <w:pPr>
              <w:spacing w:after="0"/>
            </w:pPr>
            <w:r>
              <w:rPr>
                <w:rFonts w:ascii="Calibri" w:hAnsi="Calibri"/>
                <w:sz w:val="18"/>
              </w:rPr>
              <w:t>Privacy-preserving synthetic substitution.</w:t>
            </w:r>
          </w:p>
        </w:tc>
      </w:tr>
      <w:tr>
        <w:tc>
          <w:tcPr>
            <w:tcW w:type="dxa" w:w="2880"/>
            <w:tcMar>
              <w:top w:w="90" w:type="dxa"/>
              <w:start w:w="110" w:type="dxa"/>
              <w:bottom w:w="90" w:type="dxa"/>
              <w:end w:w="110" w:type="dxa"/>
            </w:tcMar>
            <w:vAlign w:val="center"/>
          </w:tcPr>
          <w:p>
            <w:pPr>
              <w:spacing w:after="0"/>
            </w:pPr>
            <w:r>
              <w:rPr>
                <w:rFonts w:ascii="Calibri" w:hAnsi="Calibri"/>
                <w:sz w:val="18"/>
              </w:rPr>
              <w:t>Production test data</w:t>
            </w:r>
          </w:p>
        </w:tc>
        <w:tc>
          <w:tcPr>
            <w:tcW w:type="dxa" w:w="7200"/>
            <w:tcMar>
              <w:top w:w="90" w:type="dxa"/>
              <w:start w:w="110" w:type="dxa"/>
              <w:bottom w:w="90" w:type="dxa"/>
              <w:end w:w="110" w:type="dxa"/>
            </w:tcMar>
            <w:vAlign w:val="center"/>
          </w:tcPr>
          <w:p>
            <w:pPr>
              <w:spacing w:after="0"/>
            </w:pPr>
            <w:r>
              <w:rPr>
                <w:rFonts w:ascii="Calibri" w:hAnsi="Calibri"/>
                <w:sz w:val="18"/>
              </w:rPr>
              <w:t>Referentially consistent masking.</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Logs and prompts</w:t>
            </w:r>
          </w:p>
        </w:tc>
        <w:tc>
          <w:tcPr>
            <w:tcW w:type="dxa" w:w="7200"/>
            <w:tcMar>
              <w:top w:w="90" w:type="dxa"/>
              <w:start w:w="110" w:type="dxa"/>
              <w:bottom w:w="90" w:type="dxa"/>
              <w:end w:w="110" w:type="dxa"/>
            </w:tcMar>
            <w:vAlign w:val="center"/>
            <w:shd w:fill="EAF0F5"/>
          </w:tcPr>
          <w:p>
            <w:pPr>
              <w:spacing w:after="0"/>
            </w:pPr>
            <w:r>
              <w:rPr>
                <w:rFonts w:ascii="Calibri" w:hAnsi="Calibri"/>
                <w:sz w:val="18"/>
              </w:rPr>
              <w:t>Pattern-based secret and sensitive-entity redaction.</w:t>
            </w:r>
          </w:p>
        </w:tc>
      </w:tr>
      <w:tr>
        <w:tc>
          <w:tcPr>
            <w:tcW w:type="dxa" w:w="2880"/>
            <w:tcMar>
              <w:top w:w="90" w:type="dxa"/>
              <w:start w:w="110" w:type="dxa"/>
              <w:bottom w:w="90" w:type="dxa"/>
              <w:end w:w="110" w:type="dxa"/>
            </w:tcMar>
            <w:vAlign w:val="center"/>
          </w:tcPr>
          <w:p>
            <w:pPr>
              <w:spacing w:after="0"/>
            </w:pPr>
            <w:r>
              <w:rPr>
                <w:rFonts w:ascii="Calibri" w:hAnsi="Calibri"/>
                <w:sz w:val="18"/>
              </w:rPr>
              <w:t>Vector embeddings</w:t>
            </w:r>
          </w:p>
        </w:tc>
        <w:tc>
          <w:tcPr>
            <w:tcW w:type="dxa" w:w="7200"/>
            <w:tcMar>
              <w:top w:w="90" w:type="dxa"/>
              <w:start w:w="110" w:type="dxa"/>
              <w:bottom w:w="90" w:type="dxa"/>
              <w:end w:w="110" w:type="dxa"/>
            </w:tcMar>
            <w:vAlign w:val="center"/>
          </w:tcPr>
          <w:p>
            <w:pPr>
              <w:spacing w:after="0"/>
            </w:pPr>
            <w:r>
              <w:rPr>
                <w:rFonts w:ascii="Calibri" w:hAnsi="Calibri"/>
                <w:sz w:val="18"/>
              </w:rPr>
              <w:t>Tenant encryption, namespace isolation and access segmentation.</w:t>
            </w:r>
          </w:p>
        </w:tc>
      </w:tr>
    </w:tbl>
    <w:p>
      <w:pPr>
        <w:spacing w:after="80" w:line="247" w:lineRule="auto"/>
      </w:pPr>
    </w:p>
    <w:p>
      <w:pPr>
        <w:pStyle w:val="Heading1"/>
        <w:keepNext/>
        <w:spacing w:before="200" w:after="80"/>
      </w:pPr>
      <w:r>
        <w:rPr>
          <w:rFonts w:ascii="Calibri" w:hAnsi="Calibri"/>
          <w:b/>
          <w:color w:val="143755"/>
          <w:sz w:val="30"/>
        </w:rPr>
        <w:t>6. Dynamic Data Views and Synthetic Representation</w:t>
      </w:r>
    </w:p>
    <w:p>
      <w:pPr>
        <w:keepNext w:val="0"/>
        <w:spacing w:after="80" w:line="247" w:lineRule="auto"/>
      </w:pPr>
      <w:r>
        <w:rPr>
          <w:rFonts w:ascii="Calibri" w:hAnsi="Calibri"/>
          <w:sz w:val="21"/>
        </w:rPr>
        <w:t>The same protected dataset can produce different representations according to identity, authorization and business purpose. Production-sensitive values do not need to be exposed to developers, testers or AI training pipelines.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304"/>
            <w:shd w:fill="163A5F"/>
            <w:vAlign w:val="center"/>
            <w:tcMar>
              <w:top w:w="90" w:type="dxa"/>
              <w:start w:w="110" w:type="dxa"/>
              <w:bottom w:w="90" w:type="dxa"/>
              <w:end w:w="110" w:type="dxa"/>
            </w:tcMar>
          </w:tcPr>
          <w:p>
            <w:pPr>
              <w:jc w:val="center"/>
            </w:pPr>
            <w:r>
              <w:rPr>
                <w:rFonts w:ascii="Calibri" w:hAnsi="Calibri"/>
                <w:b/>
                <w:color w:val="FFFFFF"/>
                <w:sz w:val="19"/>
              </w:rPr>
              <w:t>Consumer</w:t>
            </w:r>
          </w:p>
        </w:tc>
        <w:tc>
          <w:tcPr>
            <w:tcW w:type="dxa" w:w="3312"/>
            <w:shd w:fill="163A5F"/>
            <w:vAlign w:val="center"/>
            <w:tcMar>
              <w:top w:w="90" w:type="dxa"/>
              <w:start w:w="110" w:type="dxa"/>
              <w:bottom w:w="90" w:type="dxa"/>
              <w:end w:w="110" w:type="dxa"/>
            </w:tcMar>
          </w:tcPr>
          <w:p>
            <w:pPr>
              <w:jc w:val="center"/>
            </w:pPr>
            <w:r>
              <w:rPr>
                <w:rFonts w:ascii="Calibri" w:hAnsi="Calibri"/>
                <w:b/>
                <w:color w:val="FFFFFF"/>
                <w:sz w:val="19"/>
              </w:rPr>
              <w:t>Permitted Representation</w:t>
            </w:r>
          </w:p>
        </w:tc>
        <w:tc>
          <w:tcPr>
            <w:tcW w:type="dxa" w:w="4464"/>
            <w:shd w:fill="163A5F"/>
            <w:vAlign w:val="center"/>
            <w:tcMar>
              <w:top w:w="90" w:type="dxa"/>
              <w:start w:w="110" w:type="dxa"/>
              <w:bottom w:w="90" w:type="dxa"/>
              <w:end w:w="110" w:type="dxa"/>
            </w:tcMar>
          </w:tcPr>
          <w:p>
            <w:pPr>
              <w:jc w:val="center"/>
            </w:pPr>
            <w:r>
              <w:rPr>
                <w:rFonts w:ascii="Calibri" w:hAnsi="Calibri"/>
                <w:b/>
                <w:color w:val="FFFFFF"/>
                <w:sz w:val="19"/>
              </w:rPr>
              <w:t>Example</w:t>
            </w:r>
          </w:p>
        </w:tc>
      </w:tr>
      <w:tr>
        <w:tc>
          <w:tcPr>
            <w:tcW w:type="dxa" w:w="2304"/>
            <w:tcMar>
              <w:top w:w="90" w:type="dxa"/>
              <w:start w:w="110" w:type="dxa"/>
              <w:bottom w:w="90" w:type="dxa"/>
              <w:end w:w="110" w:type="dxa"/>
            </w:tcMar>
            <w:vAlign w:val="center"/>
          </w:tcPr>
          <w:p>
            <w:pPr>
              <w:spacing w:after="0"/>
            </w:pPr>
            <w:r>
              <w:rPr>
                <w:rFonts w:ascii="Calibri" w:hAnsi="Calibri"/>
                <w:sz w:val="18"/>
              </w:rPr>
              <w:t>Privileged data steward</w:t>
            </w:r>
          </w:p>
        </w:tc>
        <w:tc>
          <w:tcPr>
            <w:tcW w:type="dxa" w:w="3312"/>
            <w:tcMar>
              <w:top w:w="90" w:type="dxa"/>
              <w:start w:w="110" w:type="dxa"/>
              <w:bottom w:w="90" w:type="dxa"/>
              <w:end w:w="110" w:type="dxa"/>
            </w:tcMar>
            <w:vAlign w:val="center"/>
          </w:tcPr>
          <w:p>
            <w:pPr>
              <w:spacing w:after="0"/>
            </w:pPr>
            <w:r>
              <w:rPr>
                <w:rFonts w:ascii="Calibri" w:hAnsi="Calibri"/>
                <w:sz w:val="18"/>
              </w:rPr>
              <w:t>Clear text when explicitly authorized</w:t>
            </w:r>
          </w:p>
        </w:tc>
        <w:tc>
          <w:tcPr>
            <w:tcW w:type="dxa" w:w="4464"/>
            <w:tcMar>
              <w:top w:w="90" w:type="dxa"/>
              <w:start w:w="110" w:type="dxa"/>
              <w:bottom w:w="90" w:type="dxa"/>
              <w:end w:w="110" w:type="dxa"/>
            </w:tcMar>
            <w:vAlign w:val="center"/>
          </w:tcPr>
          <w:p>
            <w:pPr>
              <w:spacing w:after="0"/>
            </w:pPr>
            <w:r>
              <w:rPr>
                <w:rFonts w:ascii="Calibri" w:hAnsi="Calibri"/>
                <w:sz w:val="18"/>
              </w:rPr>
              <w:t>John Smith | 123-45-6789 | 987654321</w:t>
            </w:r>
          </w:p>
        </w:tc>
      </w:tr>
      <w:tr>
        <w:tc>
          <w:tcPr>
            <w:tcW w:type="dxa" w:w="2304"/>
            <w:tcMar>
              <w:top w:w="90" w:type="dxa"/>
              <w:start w:w="110" w:type="dxa"/>
              <w:bottom w:w="90" w:type="dxa"/>
              <w:end w:w="110" w:type="dxa"/>
            </w:tcMar>
            <w:vAlign w:val="center"/>
            <w:shd w:fill="EAF0F5"/>
          </w:tcPr>
          <w:p>
            <w:pPr>
              <w:spacing w:after="0"/>
            </w:pPr>
            <w:r>
              <w:rPr>
                <w:rFonts w:ascii="Calibri" w:hAnsi="Calibri"/>
                <w:sz w:val="18"/>
              </w:rPr>
              <w:t>Customer-service user</w:t>
            </w:r>
          </w:p>
        </w:tc>
        <w:tc>
          <w:tcPr>
            <w:tcW w:type="dxa" w:w="3312"/>
            <w:tcMar>
              <w:top w:w="90" w:type="dxa"/>
              <w:start w:w="110" w:type="dxa"/>
              <w:bottom w:w="90" w:type="dxa"/>
              <w:end w:w="110" w:type="dxa"/>
            </w:tcMar>
            <w:vAlign w:val="center"/>
            <w:shd w:fill="EAF0F5"/>
          </w:tcPr>
          <w:p>
            <w:pPr>
              <w:spacing w:after="0"/>
            </w:pPr>
            <w:r>
              <w:rPr>
                <w:rFonts w:ascii="Calibri" w:hAnsi="Calibri"/>
                <w:sz w:val="18"/>
              </w:rPr>
              <w:t>Partially masked values</w:t>
            </w:r>
          </w:p>
        </w:tc>
        <w:tc>
          <w:tcPr>
            <w:tcW w:type="dxa" w:w="4464"/>
            <w:tcMar>
              <w:top w:w="90" w:type="dxa"/>
              <w:start w:w="110" w:type="dxa"/>
              <w:bottom w:w="90" w:type="dxa"/>
              <w:end w:w="110" w:type="dxa"/>
            </w:tcMar>
            <w:vAlign w:val="center"/>
            <w:shd w:fill="EAF0F5"/>
          </w:tcPr>
          <w:p>
            <w:pPr>
              <w:spacing w:after="0"/>
            </w:pPr>
            <w:r>
              <w:rPr>
                <w:rFonts w:ascii="Calibri" w:hAnsi="Calibri"/>
                <w:sz w:val="18"/>
              </w:rPr>
              <w:t>John S**** | ***-**-6789 | *****4321</w:t>
            </w:r>
          </w:p>
        </w:tc>
      </w:tr>
      <w:tr>
        <w:tc>
          <w:tcPr>
            <w:tcW w:type="dxa" w:w="2304"/>
            <w:tcMar>
              <w:top w:w="90" w:type="dxa"/>
              <w:start w:w="110" w:type="dxa"/>
              <w:bottom w:w="90" w:type="dxa"/>
              <w:end w:w="110" w:type="dxa"/>
            </w:tcMar>
            <w:vAlign w:val="center"/>
          </w:tcPr>
          <w:p>
            <w:pPr>
              <w:spacing w:after="0"/>
            </w:pPr>
            <w:r>
              <w:rPr>
                <w:rFonts w:ascii="Calibri" w:hAnsi="Calibri"/>
                <w:sz w:val="18"/>
              </w:rPr>
              <w:t>AI development environment</w:t>
            </w:r>
          </w:p>
        </w:tc>
        <w:tc>
          <w:tcPr>
            <w:tcW w:type="dxa" w:w="3312"/>
            <w:tcMar>
              <w:top w:w="90" w:type="dxa"/>
              <w:start w:w="110" w:type="dxa"/>
              <w:bottom w:w="90" w:type="dxa"/>
              <w:end w:w="110" w:type="dxa"/>
            </w:tcMar>
            <w:vAlign w:val="center"/>
          </w:tcPr>
          <w:p>
            <w:pPr>
              <w:spacing w:after="0"/>
            </w:pPr>
            <w:r>
              <w:rPr>
                <w:rFonts w:ascii="Calibri" w:hAnsi="Calibri"/>
                <w:sz w:val="18"/>
              </w:rPr>
              <w:t>Synthetic but statistically representative values</w:t>
            </w:r>
          </w:p>
        </w:tc>
        <w:tc>
          <w:tcPr>
            <w:tcW w:type="dxa" w:w="4464"/>
            <w:tcMar>
              <w:top w:w="90" w:type="dxa"/>
              <w:start w:w="110" w:type="dxa"/>
              <w:bottom w:w="90" w:type="dxa"/>
              <w:end w:w="110" w:type="dxa"/>
            </w:tcMar>
            <w:vAlign w:val="center"/>
          </w:tcPr>
          <w:p>
            <w:pPr>
              <w:spacing w:after="0"/>
            </w:pPr>
            <w:r>
              <w:rPr>
                <w:rFonts w:ascii="Calibri" w:hAnsi="Calibri"/>
                <w:sz w:val="18"/>
              </w:rPr>
              <w:t>Robert Taylor | 742-81-3956 | 483927105</w:t>
            </w:r>
          </w:p>
        </w:tc>
      </w:tr>
      <w:tr>
        <w:tc>
          <w:tcPr>
            <w:tcW w:type="dxa" w:w="2304"/>
            <w:tcMar>
              <w:top w:w="90" w:type="dxa"/>
              <w:start w:w="110" w:type="dxa"/>
              <w:bottom w:w="90" w:type="dxa"/>
              <w:end w:w="110" w:type="dxa"/>
            </w:tcMar>
            <w:vAlign w:val="center"/>
            <w:shd w:fill="EAF0F5"/>
          </w:tcPr>
          <w:p>
            <w:pPr>
              <w:spacing w:after="0"/>
            </w:pPr>
            <w:r>
              <w:rPr>
                <w:rFonts w:ascii="Calibri" w:hAnsi="Calibri"/>
                <w:sz w:val="18"/>
              </w:rPr>
              <w:t>Analytics consumer</w:t>
            </w:r>
          </w:p>
        </w:tc>
        <w:tc>
          <w:tcPr>
            <w:tcW w:type="dxa" w:w="3312"/>
            <w:tcMar>
              <w:top w:w="90" w:type="dxa"/>
              <w:start w:w="110" w:type="dxa"/>
              <w:bottom w:w="90" w:type="dxa"/>
              <w:end w:w="110" w:type="dxa"/>
            </w:tcMar>
            <w:vAlign w:val="center"/>
            <w:shd w:fill="EAF0F5"/>
          </w:tcPr>
          <w:p>
            <w:pPr>
              <w:spacing w:after="0"/>
            </w:pPr>
            <w:r>
              <w:rPr>
                <w:rFonts w:ascii="Calibri" w:hAnsi="Calibri"/>
                <w:sz w:val="18"/>
              </w:rPr>
              <w:t>Aggregated or de-identified output</w:t>
            </w:r>
          </w:p>
        </w:tc>
        <w:tc>
          <w:tcPr>
            <w:tcW w:type="dxa" w:w="4464"/>
            <w:tcMar>
              <w:top w:w="90" w:type="dxa"/>
              <w:start w:w="110" w:type="dxa"/>
              <w:bottom w:w="90" w:type="dxa"/>
              <w:end w:w="110" w:type="dxa"/>
            </w:tcMar>
            <w:vAlign w:val="center"/>
            <w:shd w:fill="EAF0F5"/>
          </w:tcPr>
          <w:p>
            <w:pPr>
              <w:spacing w:after="0"/>
            </w:pPr>
            <w:r>
              <w:rPr>
                <w:rFonts w:ascii="Calibri" w:hAnsi="Calibri"/>
                <w:sz w:val="18"/>
              </w:rPr>
              <w:t>Regional cohort; no direct identifiers</w:t>
            </w:r>
          </w:p>
        </w:tc>
      </w:tr>
      <w:tr>
        <w:tc>
          <w:tcPr>
            <w:tcW w:type="dxa" w:w="2304"/>
            <w:tcMar>
              <w:top w:w="90" w:type="dxa"/>
              <w:start w:w="110" w:type="dxa"/>
              <w:bottom w:w="90" w:type="dxa"/>
              <w:end w:w="110" w:type="dxa"/>
            </w:tcMar>
            <w:vAlign w:val="center"/>
          </w:tcPr>
          <w:p>
            <w:pPr>
              <w:spacing w:after="0"/>
            </w:pPr>
            <w:r>
              <w:rPr>
                <w:rFonts w:ascii="Calibri" w:hAnsi="Calibri"/>
                <w:sz w:val="18"/>
              </w:rPr>
              <w:t>Unauthorized or excessive-risk request</w:t>
            </w:r>
          </w:p>
        </w:tc>
        <w:tc>
          <w:tcPr>
            <w:tcW w:type="dxa" w:w="3312"/>
            <w:tcMar>
              <w:top w:w="90" w:type="dxa"/>
              <w:start w:w="110" w:type="dxa"/>
              <w:bottom w:w="90" w:type="dxa"/>
              <w:end w:w="110" w:type="dxa"/>
            </w:tcMar>
            <w:vAlign w:val="center"/>
          </w:tcPr>
          <w:p>
            <w:pPr>
              <w:spacing w:after="0"/>
            </w:pPr>
            <w:r>
              <w:rPr>
                <w:rFonts w:ascii="Calibri" w:hAnsi="Calibri"/>
                <w:sz w:val="18"/>
              </w:rPr>
              <w:t>No data returned</w:t>
            </w:r>
          </w:p>
        </w:tc>
        <w:tc>
          <w:tcPr>
            <w:tcW w:type="dxa" w:w="4464"/>
            <w:tcMar>
              <w:top w:w="90" w:type="dxa"/>
              <w:start w:w="110" w:type="dxa"/>
              <w:bottom w:w="90" w:type="dxa"/>
              <w:end w:w="110" w:type="dxa"/>
            </w:tcMar>
            <w:vAlign w:val="center"/>
          </w:tcPr>
          <w:p>
            <w:pPr>
              <w:spacing w:after="0"/>
            </w:pPr>
            <w:r>
              <w:rPr>
                <w:rFonts w:ascii="Calibri" w:hAnsi="Calibri"/>
                <w:sz w:val="18"/>
              </w:rPr>
              <w:t>Access denied and event logged</w:t>
            </w:r>
          </w:p>
        </w:tc>
      </w:tr>
    </w:tbl>
    <w:p>
      <w:pPr>
        <w:spacing w:after="80" w:line="247" w:lineRule="auto"/>
      </w:pPr>
    </w:p>
    <w:p>
      <w:pPr>
        <w:keepNext w:val="0"/>
        <w:spacing w:after="80" w:line="247" w:lineRule="auto"/>
      </w:pPr>
      <w:r>
        <w:rPr>
          <w:rFonts w:ascii="Calibri" w:hAnsi="Calibri"/>
          <w:sz w:val="21"/>
        </w:rPr>
        <w:t>Synthetic records should preserve required statistical distributions and referential relationships while maintaining no direct link to the original individual. The generation process should be versioned, measurable and governed as part of the model and data lineage chain.</w:t>
      </w:r>
    </w:p>
    <w:p>
      <w:pPr>
        <w:pStyle w:val="Heading2"/>
        <w:keepNext/>
        <w:spacing w:before="200" w:after="80"/>
      </w:pPr>
      <w:r>
        <w:rPr>
          <w:rFonts w:ascii="Calibri" w:hAnsi="Calibri"/>
          <w:b/>
          <w:color w:val="225870"/>
          <w:sz w:val="24"/>
        </w:rPr>
        <w:t>Enforcement Points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592"/>
            <w:shd w:fill="163A5F"/>
            <w:vAlign w:val="center"/>
            <w:tcMar>
              <w:top w:w="90" w:type="dxa"/>
              <w:start w:w="110" w:type="dxa"/>
              <w:bottom w:w="90" w:type="dxa"/>
              <w:end w:w="110" w:type="dxa"/>
            </w:tcMar>
          </w:tcPr>
          <w:p>
            <w:pPr>
              <w:jc w:val="center"/>
            </w:pPr>
            <w:r>
              <w:rPr>
                <w:rFonts w:ascii="Calibri" w:hAnsi="Calibri"/>
                <w:b/>
                <w:color w:val="FFFFFF"/>
                <w:sz w:val="19"/>
              </w:rPr>
              <w:t>Enforcement Point</w:t>
            </w:r>
          </w:p>
        </w:tc>
        <w:tc>
          <w:tcPr>
            <w:tcW w:type="dxa" w:w="7488"/>
            <w:shd w:fill="163A5F"/>
            <w:vAlign w:val="center"/>
            <w:tcMar>
              <w:top w:w="90" w:type="dxa"/>
              <w:start w:w="110" w:type="dxa"/>
              <w:bottom w:w="90" w:type="dxa"/>
              <w:end w:w="110" w:type="dxa"/>
            </w:tcMar>
          </w:tcPr>
          <w:p>
            <w:pPr>
              <w:jc w:val="center"/>
            </w:pPr>
            <w:r>
              <w:rPr>
                <w:rFonts w:ascii="Calibri" w:hAnsi="Calibri"/>
                <w:b/>
                <w:color w:val="FFFFFF"/>
                <w:sz w:val="19"/>
              </w:rPr>
              <w:t>Controls</w:t>
            </w:r>
          </w:p>
        </w:tc>
      </w:tr>
      <w:tr>
        <w:tc>
          <w:tcPr>
            <w:tcW w:type="dxa" w:w="2592"/>
            <w:tcMar>
              <w:top w:w="90" w:type="dxa"/>
              <w:start w:w="110" w:type="dxa"/>
              <w:bottom w:w="90" w:type="dxa"/>
              <w:end w:w="110" w:type="dxa"/>
            </w:tcMar>
            <w:vAlign w:val="center"/>
          </w:tcPr>
          <w:p>
            <w:pPr>
              <w:spacing w:after="0"/>
            </w:pPr>
            <w:r>
              <w:rPr>
                <w:rFonts w:ascii="Calibri" w:hAnsi="Calibri"/>
                <w:sz w:val="18"/>
              </w:rPr>
              <w:t>Identity gateway</w:t>
            </w:r>
          </w:p>
        </w:tc>
        <w:tc>
          <w:tcPr>
            <w:tcW w:type="dxa" w:w="7488"/>
            <w:tcMar>
              <w:top w:w="90" w:type="dxa"/>
              <w:start w:w="110" w:type="dxa"/>
              <w:bottom w:w="90" w:type="dxa"/>
              <w:end w:w="110" w:type="dxa"/>
            </w:tcMar>
            <w:vAlign w:val="center"/>
          </w:tcPr>
          <w:p>
            <w:pPr>
              <w:spacing w:after="0"/>
            </w:pPr>
            <w:r>
              <w:rPr>
                <w:rFonts w:ascii="Calibri" w:hAnsi="Calibri"/>
                <w:sz w:val="18"/>
              </w:rPr>
              <w:t>MFA, workload identity, device trust, session risk and step-up authentication.</w:t>
            </w:r>
          </w:p>
        </w:tc>
      </w:tr>
      <w:tr>
        <w:tc>
          <w:tcPr>
            <w:tcW w:type="dxa" w:w="2592"/>
            <w:tcMar>
              <w:top w:w="90" w:type="dxa"/>
              <w:start w:w="110" w:type="dxa"/>
              <w:bottom w:w="90" w:type="dxa"/>
              <w:end w:w="110" w:type="dxa"/>
            </w:tcMar>
            <w:vAlign w:val="center"/>
            <w:shd w:fill="EAF0F5"/>
          </w:tcPr>
          <w:p>
            <w:pPr>
              <w:spacing w:after="0"/>
            </w:pPr>
            <w:r>
              <w:rPr>
                <w:rFonts w:ascii="Calibri" w:hAnsi="Calibri"/>
                <w:sz w:val="18"/>
              </w:rPr>
              <w:t>Storage namespace</w:t>
            </w:r>
          </w:p>
        </w:tc>
        <w:tc>
          <w:tcPr>
            <w:tcW w:type="dxa" w:w="7488"/>
            <w:tcMar>
              <w:top w:w="90" w:type="dxa"/>
              <w:start w:w="110" w:type="dxa"/>
              <w:bottom w:w="90" w:type="dxa"/>
              <w:end w:w="110" w:type="dxa"/>
            </w:tcMar>
            <w:vAlign w:val="center"/>
            <w:shd w:fill="EAF0F5"/>
          </w:tcPr>
          <w:p>
            <w:pPr>
              <w:spacing w:after="0"/>
            </w:pPr>
            <w:r>
              <w:rPr>
                <w:rFonts w:ascii="Calibri" w:hAnsi="Calibri"/>
                <w:sz w:val="18"/>
              </w:rPr>
              <w:t>Tenant isolation, ACLs, object policy, classification and least privilege.</w:t>
            </w:r>
          </w:p>
        </w:tc>
      </w:tr>
      <w:tr>
        <w:tc>
          <w:tcPr>
            <w:tcW w:type="dxa" w:w="2592"/>
            <w:tcMar>
              <w:top w:w="90" w:type="dxa"/>
              <w:start w:w="110" w:type="dxa"/>
              <w:bottom w:w="90" w:type="dxa"/>
              <w:end w:w="110" w:type="dxa"/>
            </w:tcMar>
            <w:vAlign w:val="center"/>
          </w:tcPr>
          <w:p>
            <w:pPr>
              <w:spacing w:after="0"/>
            </w:pPr>
            <w:r>
              <w:rPr>
                <w:rFonts w:ascii="Calibri" w:hAnsi="Calibri"/>
                <w:sz w:val="18"/>
              </w:rPr>
              <w:t>Transformation layer</w:t>
            </w:r>
          </w:p>
        </w:tc>
        <w:tc>
          <w:tcPr>
            <w:tcW w:type="dxa" w:w="7488"/>
            <w:tcMar>
              <w:top w:w="90" w:type="dxa"/>
              <w:start w:w="110" w:type="dxa"/>
              <w:bottom w:w="90" w:type="dxa"/>
              <w:end w:w="110" w:type="dxa"/>
            </w:tcMar>
            <w:vAlign w:val="center"/>
          </w:tcPr>
          <w:p>
            <w:pPr>
              <w:spacing w:after="0"/>
            </w:pPr>
            <w:r>
              <w:rPr>
                <w:rFonts w:ascii="Calibri" w:hAnsi="Calibri"/>
                <w:sz w:val="18"/>
              </w:rPr>
              <w:t>Masking, tokenization, obfuscation, pseudonymization and synthetic substitution.</w:t>
            </w:r>
          </w:p>
        </w:tc>
      </w:tr>
      <w:tr>
        <w:tc>
          <w:tcPr>
            <w:tcW w:type="dxa" w:w="2592"/>
            <w:tcMar>
              <w:top w:w="90" w:type="dxa"/>
              <w:start w:w="110" w:type="dxa"/>
              <w:bottom w:w="90" w:type="dxa"/>
              <w:end w:w="110" w:type="dxa"/>
            </w:tcMar>
            <w:vAlign w:val="center"/>
            <w:shd w:fill="EAF0F5"/>
          </w:tcPr>
          <w:p>
            <w:pPr>
              <w:spacing w:after="0"/>
            </w:pPr>
            <w:r>
              <w:rPr>
                <w:rFonts w:ascii="Calibri" w:hAnsi="Calibri"/>
                <w:sz w:val="18"/>
              </w:rPr>
              <w:t>Cloud transfer gateway</w:t>
            </w:r>
          </w:p>
        </w:tc>
        <w:tc>
          <w:tcPr>
            <w:tcW w:type="dxa" w:w="7488"/>
            <w:tcMar>
              <w:top w:w="90" w:type="dxa"/>
              <w:start w:w="110" w:type="dxa"/>
              <w:bottom w:w="90" w:type="dxa"/>
              <w:end w:w="110" w:type="dxa"/>
            </w:tcMar>
            <w:vAlign w:val="center"/>
            <w:shd w:fill="EAF0F5"/>
          </w:tcPr>
          <w:p>
            <w:pPr>
              <w:spacing w:after="0"/>
            </w:pPr>
            <w:r>
              <w:rPr>
                <w:rFonts w:ascii="Calibri" w:hAnsi="Calibri"/>
                <w:sz w:val="18"/>
              </w:rPr>
              <w:t>Destination validation, restricted-field removal, encryption and integrity verification.</w:t>
            </w:r>
          </w:p>
        </w:tc>
      </w:tr>
      <w:tr>
        <w:tc>
          <w:tcPr>
            <w:tcW w:type="dxa" w:w="2592"/>
            <w:tcMar>
              <w:top w:w="90" w:type="dxa"/>
              <w:start w:w="110" w:type="dxa"/>
              <w:bottom w:w="90" w:type="dxa"/>
              <w:end w:w="110" w:type="dxa"/>
            </w:tcMar>
            <w:vAlign w:val="center"/>
          </w:tcPr>
          <w:p>
            <w:pPr>
              <w:spacing w:after="0"/>
            </w:pPr>
            <w:r>
              <w:rPr>
                <w:rFonts w:ascii="Calibri" w:hAnsi="Calibri"/>
                <w:sz w:val="18"/>
              </w:rPr>
              <w:t>Monitoring plane</w:t>
            </w:r>
          </w:p>
        </w:tc>
        <w:tc>
          <w:tcPr>
            <w:tcW w:type="dxa" w:w="7488"/>
            <w:tcMar>
              <w:top w:w="90" w:type="dxa"/>
              <w:start w:w="110" w:type="dxa"/>
              <w:bottom w:w="90" w:type="dxa"/>
              <w:end w:w="110" w:type="dxa"/>
            </w:tcMar>
            <w:vAlign w:val="center"/>
          </w:tcPr>
          <w:p>
            <w:pPr>
              <w:spacing w:after="0"/>
            </w:pPr>
            <w:r>
              <w:rPr>
                <w:rFonts w:ascii="Calibri" w:hAnsi="Calibri"/>
                <w:sz w:val="18"/>
              </w:rPr>
              <w:t>Behavior analytics, anomaly detection, audit evidence and SIEM integration.</w:t>
            </w:r>
          </w:p>
        </w:tc>
      </w:tr>
    </w:tbl>
    <w:p>
      <w:pPr>
        <w:spacing w:after="80" w:line="247" w:lineRule="auto"/>
      </w:pPr>
    </w:p>
    <w:p>
      <w:pPr>
        <w:pStyle w:val="Heading1"/>
        <w:keepNext/>
        <w:spacing w:before="200" w:after="80"/>
      </w:pPr>
      <w:r>
        <w:rPr>
          <w:rFonts w:ascii="Calibri" w:hAnsi="Calibri"/>
          <w:b/>
          <w:color w:val="143755"/>
          <w:sz w:val="30"/>
        </w:rPr>
        <w:t>7. Secure Cloud-Object Integration</w:t>
      </w:r>
    </w:p>
    <w:p>
      <w:pPr>
        <w:keepNext w:val="0"/>
        <w:spacing w:after="80" w:line="247" w:lineRule="auto"/>
      </w:pPr>
      <w:r>
        <w:rPr>
          <w:rFonts w:ascii="Calibri" w:hAnsi="Calibri"/>
          <w:sz w:val="21"/>
        </w:rPr>
        <w:t>The cloud tier extends the AI-storage namespace and provides archive, retention and secondary-copy capacity. Cloud credentials should be temporary, workload-scoped and issued through federated identity rather than permanently stored on the appliance.</w:t>
      </w:r>
    </w:p>
    <w:p>
      <w:pPr>
        <w:pStyle w:val="Heading2"/>
        <w:keepNext/>
        <w:spacing w:before="200" w:after="80"/>
      </w:pPr>
      <w:r>
        <w:rPr>
          <w:rFonts w:ascii="Calibri" w:hAnsi="Calibri"/>
          <w:b/>
          <w:color w:val="225870"/>
          <w:sz w:val="24"/>
        </w:rPr>
        <w:t>Secure Data Path</w:t>
      </w:r>
    </w:p>
    <w:tbl>
      <w:tblPr>
        <w:tblW w:type="auto" w:w="0"/>
        <w:jc w:val="center"/>
        <w:tblLook w:firstColumn="1" w:firstRow="1" w:lastColumn="0" w:lastRow="0" w:noHBand="0" w:noVBand="1" w:val="04A0"/>
      </w:tblPr>
      <w:tblGrid>
        <w:gridCol w:w="10166"/>
      </w:tblGrid>
      <w:tr>
        <w:tc>
          <w:tcPr>
            <w:tcW w:type="dxa" w:w="10166"/>
            <w:shd w:fill="163A5F"/>
            <w:tcMar>
              <w:top w:w="130" w:type="dxa"/>
              <w:start w:w="150" w:type="dxa"/>
              <w:bottom w:w="130" w:type="dxa"/>
              <w:end w:w="150" w:type="dxa"/>
            </w:tcMar>
          </w:tcPr>
          <w:p>
            <w:pPr>
              <w:spacing w:after="40"/>
              <w:jc w:val="center"/>
            </w:pPr>
            <w:r>
              <w:rPr>
                <w:rFonts w:ascii="Calibri" w:hAnsi="Calibri"/>
                <w:b/>
                <w:color w:val="FFFFFF"/>
                <w:sz w:val="21"/>
              </w:rPr>
              <w:t>AI STORAGE APPLIANCE</w:t>
            </w:r>
          </w:p>
          <w:p>
            <w:pPr>
              <w:spacing w:after="0"/>
              <w:jc w:val="center"/>
            </w:pPr>
            <w:r>
              <w:rPr>
                <w:rFonts w:ascii="Calibri" w:hAnsi="Calibri"/>
                <w:color w:val="FFFFFF"/>
                <w:sz w:val="18"/>
              </w:rPr>
              <w:t>Classify • authorize • obfuscate • compress • encrypt</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45B78"/>
            <w:tcMar>
              <w:top w:w="130" w:type="dxa"/>
              <w:start w:w="150" w:type="dxa"/>
              <w:bottom w:w="130" w:type="dxa"/>
              <w:end w:w="150" w:type="dxa"/>
            </w:tcMar>
          </w:tcPr>
          <w:p>
            <w:pPr>
              <w:spacing w:after="40"/>
              <w:jc w:val="center"/>
            </w:pPr>
            <w:r>
              <w:rPr>
                <w:rFonts w:ascii="Calibri" w:hAnsi="Calibri"/>
                <w:b/>
                <w:color w:val="FFFFFF"/>
                <w:sz w:val="21"/>
              </w:rPr>
              <w:t>PRIVATE CONNECTIVITY</w:t>
            </w:r>
          </w:p>
          <w:p>
            <w:pPr>
              <w:spacing w:after="0"/>
              <w:jc w:val="center"/>
            </w:pPr>
            <w:r>
              <w:rPr>
                <w:rFonts w:ascii="Calibri" w:hAnsi="Calibri"/>
                <w:color w:val="FFFFFF"/>
                <w:sz w:val="18"/>
              </w:rPr>
              <w:t>Direct Connect / ExpressRoute / private service endpoint / IPsec when required</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2F6B79"/>
            <w:tcMar>
              <w:top w:w="130" w:type="dxa"/>
              <w:start w:w="150" w:type="dxa"/>
              <w:bottom w:w="130" w:type="dxa"/>
              <w:end w:w="150" w:type="dxa"/>
            </w:tcMar>
          </w:tcPr>
          <w:p>
            <w:pPr>
              <w:spacing w:after="40"/>
              <w:jc w:val="center"/>
            </w:pPr>
            <w:r>
              <w:rPr>
                <w:rFonts w:ascii="Calibri" w:hAnsi="Calibri"/>
                <w:b/>
                <w:color w:val="FFFFFF"/>
                <w:sz w:val="21"/>
              </w:rPr>
              <w:t>TRANSPORT SECURITY</w:t>
            </w:r>
          </w:p>
          <w:p>
            <w:pPr>
              <w:spacing w:after="0"/>
              <w:jc w:val="center"/>
            </w:pPr>
            <w:r>
              <w:rPr>
                <w:rFonts w:ascii="Calibri" w:hAnsi="Calibri"/>
                <w:color w:val="FFFFFF"/>
                <w:sz w:val="18"/>
              </w:rPr>
              <w:t>TLS 1.3 • mutual TLS • signed S3 requests • short-lived credentials</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D9E8EC"/>
            <w:tcMar>
              <w:top w:w="130" w:type="dxa"/>
              <w:start w:w="150" w:type="dxa"/>
              <w:bottom w:w="130" w:type="dxa"/>
              <w:end w:w="150" w:type="dxa"/>
            </w:tcMar>
          </w:tcPr>
          <w:p>
            <w:pPr>
              <w:spacing w:after="40"/>
              <w:jc w:val="center"/>
            </w:pPr>
            <w:r>
              <w:rPr>
                <w:rFonts w:ascii="Calibri" w:hAnsi="Calibri"/>
                <w:b/>
                <w:color w:val="142837"/>
                <w:sz w:val="21"/>
              </w:rPr>
              <w:t>CLOUD OBJECT STORAGE</w:t>
            </w:r>
          </w:p>
          <w:p>
            <w:pPr>
              <w:spacing w:after="0"/>
              <w:jc w:val="center"/>
            </w:pPr>
            <w:r>
              <w:rPr>
                <w:rFonts w:ascii="Calibri" w:hAnsi="Calibri"/>
                <w:color w:val="142837"/>
                <w:sz w:val="18"/>
              </w:rPr>
              <w:t>AWS S3 • Azure Blob • Google Cloud Storage • private S3</w:t>
            </w:r>
          </w:p>
        </w:tc>
      </w:tr>
      <w:tr>
        <w:tc>
          <w:tcPr>
            <w:tcW w:type="dxa" w:w="10166"/>
            <w:tcMar>
              <w:top w:w="0" w:type="dxa"/>
              <w:start w:w="110" w:type="dxa"/>
              <w:bottom w:w="0" w:type="dxa"/>
              <w:end w:w="110" w:type="dxa"/>
            </w:tcMar>
          </w:tcPr>
          <w:p>
            <w:pPr>
              <w:jc w:val="center"/>
            </w:pPr>
            <w:r>
              <w:rPr>
                <w:rFonts w:ascii="Calibri" w:hAnsi="Calibri"/>
                <w:b/>
                <w:color w:val="225870"/>
                <w:sz w:val="22"/>
              </w:rPr>
              <w:t>▼</w:t>
            </w:r>
          </w:p>
        </w:tc>
      </w:tr>
      <w:tr>
        <w:tc>
          <w:tcPr>
            <w:tcW w:type="dxa" w:w="10166"/>
            <w:shd w:fill="EAF0F5"/>
            <w:tcMar>
              <w:top w:w="130" w:type="dxa"/>
              <w:start w:w="150" w:type="dxa"/>
              <w:bottom w:w="130" w:type="dxa"/>
              <w:end w:w="150" w:type="dxa"/>
            </w:tcMar>
          </w:tcPr>
          <w:p>
            <w:pPr>
              <w:spacing w:after="40"/>
              <w:jc w:val="center"/>
            </w:pPr>
            <w:r>
              <w:rPr>
                <w:rFonts w:ascii="Calibri" w:hAnsi="Calibri"/>
                <w:b/>
                <w:color w:val="142837"/>
                <w:sz w:val="21"/>
              </w:rPr>
              <w:t>ASSURANCE</w:t>
            </w:r>
          </w:p>
          <w:p>
            <w:pPr>
              <w:spacing w:after="0"/>
              <w:jc w:val="center"/>
            </w:pPr>
            <w:r>
              <w:rPr>
                <w:rFonts w:ascii="Calibri" w:hAnsi="Calibri"/>
                <w:color w:val="142837"/>
                <w:sz w:val="18"/>
              </w:rPr>
              <w:t>KMS keys • Object Lock • versioning • checksum • replication • audit</w:t>
            </w:r>
          </w:p>
        </w:tc>
      </w:tr>
    </w:tbl>
    <w:p>
      <w:pPr>
        <w:pStyle w:val="Heading2"/>
        <w:keepNext/>
        <w:spacing w:before="200" w:after="80"/>
      </w:pPr>
      <w:r>
        <w:rPr>
          <w:rFonts w:ascii="Calibri" w:hAnsi="Calibri"/>
          <w:b/>
          <w:color w:val="225870"/>
          <w:sz w:val="24"/>
        </w:rPr>
        <w:t>Cloud Movement Policy</w:t>
      </w:r>
    </w:p>
    <w:p>
      <w:pPr>
        <w:pStyle w:val="ListBullet"/>
        <w:spacing w:after="40" w:line="240" w:lineRule="auto"/>
      </w:pPr>
      <w:r>
        <w:rPr>
          <w:rFonts w:ascii="Calibri" w:hAnsi="Calibri"/>
          <w:sz w:val="21"/>
        </w:rPr>
        <w:t>Classify the dataset and validate residency, retention and legal-hold rules.</w:t>
      </w:r>
    </w:p>
    <w:p>
      <w:pPr>
        <w:pStyle w:val="ListBullet"/>
        <w:spacing w:after="40" w:line="240" w:lineRule="auto"/>
      </w:pPr>
      <w:r>
        <w:rPr>
          <w:rFonts w:ascii="Calibri" w:hAnsi="Calibri"/>
          <w:sz w:val="21"/>
        </w:rPr>
        <w:t>Remove, tokenize or pseudonymize restricted fields before movement.</w:t>
      </w:r>
    </w:p>
    <w:p>
      <w:pPr>
        <w:pStyle w:val="ListBullet"/>
        <w:spacing w:after="40" w:line="240" w:lineRule="auto"/>
      </w:pPr>
      <w:r>
        <w:rPr>
          <w:rFonts w:ascii="Calibri" w:hAnsi="Calibri"/>
          <w:sz w:val="21"/>
        </w:rPr>
        <w:t>Apply compression and deduplication where policy permits.</w:t>
      </w:r>
    </w:p>
    <w:p>
      <w:pPr>
        <w:pStyle w:val="ListBullet"/>
        <w:spacing w:after="40" w:line="240" w:lineRule="auto"/>
      </w:pPr>
      <w:r>
        <w:rPr>
          <w:rFonts w:ascii="Calibri" w:hAnsi="Calibri"/>
          <w:sz w:val="21"/>
        </w:rPr>
        <w:t>Encrypt objects with customer-managed keys and establish a private or TLS 1.3 protected path.</w:t>
      </w:r>
    </w:p>
    <w:p>
      <w:pPr>
        <w:pStyle w:val="ListBullet"/>
        <w:spacing w:after="40" w:line="240" w:lineRule="auto"/>
      </w:pPr>
      <w:r>
        <w:rPr>
          <w:rFonts w:ascii="Calibri" w:hAnsi="Calibri"/>
          <w:sz w:val="21"/>
        </w:rPr>
        <w:t>Validate the destination account, bucket, region, object-lock and lifecycle policies.</w:t>
      </w:r>
    </w:p>
    <w:p>
      <w:pPr>
        <w:pStyle w:val="ListBullet"/>
        <w:spacing w:after="40" w:line="240" w:lineRule="auto"/>
      </w:pPr>
      <w:r>
        <w:rPr>
          <w:rFonts w:ascii="Calibri" w:hAnsi="Calibri"/>
          <w:sz w:val="21"/>
        </w:rPr>
        <w:t>Verify checksum, encryption state and object metadata after transfer.</w:t>
      </w:r>
    </w:p>
    <w:p>
      <w:pPr>
        <w:pStyle w:val="ListBullet"/>
        <w:spacing w:after="40" w:line="240" w:lineRule="auto"/>
      </w:pPr>
      <w:r>
        <w:rPr>
          <w:rFonts w:ascii="Calibri" w:hAnsi="Calibri"/>
          <w:sz w:val="21"/>
        </w:rPr>
        <w:t>Write an immutable audit record and preserve lineage between local and cloud copies.</w:t>
      </w:r>
    </w:p>
    <w:p>
      <w:pPr>
        <w:pStyle w:val="Heading2"/>
        <w:keepNext/>
        <w:spacing w:before="200" w:after="80"/>
      </w:pPr>
      <w:r>
        <w:rPr>
          <w:rFonts w:ascii="Calibri" w:hAnsi="Calibri"/>
          <w:b/>
          <w:color w:val="225870"/>
          <w:sz w:val="24"/>
        </w:rPr>
        <w:t>Mandatory Security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304"/>
            <w:shd w:fill="163A5F"/>
            <w:vAlign w:val="center"/>
            <w:tcMar>
              <w:top w:w="90" w:type="dxa"/>
              <w:start w:w="110" w:type="dxa"/>
              <w:bottom w:w="90" w:type="dxa"/>
              <w:end w:w="110" w:type="dxa"/>
            </w:tcMar>
          </w:tcPr>
          <w:p>
            <w:pPr>
              <w:jc w:val="center"/>
            </w:pPr>
            <w:r>
              <w:rPr>
                <w:rFonts w:ascii="Calibri" w:hAnsi="Calibri"/>
                <w:b/>
                <w:color w:val="FFFFFF"/>
                <w:sz w:val="19"/>
              </w:rPr>
              <w:t>Control Domain</w:t>
            </w:r>
          </w:p>
        </w:tc>
        <w:tc>
          <w:tcPr>
            <w:tcW w:type="dxa" w:w="7776"/>
            <w:shd w:fill="163A5F"/>
            <w:vAlign w:val="center"/>
            <w:tcMar>
              <w:top w:w="90" w:type="dxa"/>
              <w:start w:w="110" w:type="dxa"/>
              <w:bottom w:w="90" w:type="dxa"/>
              <w:end w:w="110" w:type="dxa"/>
            </w:tcMar>
          </w:tcPr>
          <w:p>
            <w:pPr>
              <w:jc w:val="center"/>
            </w:pPr>
            <w:r>
              <w:rPr>
                <w:rFonts w:ascii="Calibri" w:hAnsi="Calibri"/>
                <w:b/>
                <w:color w:val="FFFFFF"/>
                <w:sz w:val="19"/>
              </w:rPr>
              <w:t>Required Controls</w:t>
            </w:r>
          </w:p>
        </w:tc>
      </w:tr>
      <w:tr>
        <w:tc>
          <w:tcPr>
            <w:tcW w:type="dxa" w:w="2304"/>
            <w:tcMar>
              <w:top w:w="90" w:type="dxa"/>
              <w:start w:w="110" w:type="dxa"/>
              <w:bottom w:w="90" w:type="dxa"/>
              <w:end w:w="110" w:type="dxa"/>
            </w:tcMar>
            <w:vAlign w:val="center"/>
          </w:tcPr>
          <w:p>
            <w:pPr>
              <w:spacing w:after="0"/>
            </w:pPr>
            <w:r>
              <w:rPr>
                <w:rFonts w:ascii="Calibri" w:hAnsi="Calibri"/>
                <w:sz w:val="18"/>
              </w:rPr>
              <w:t>Encryption</w:t>
            </w:r>
          </w:p>
        </w:tc>
        <w:tc>
          <w:tcPr>
            <w:tcW w:type="dxa" w:w="7776"/>
            <w:tcMar>
              <w:top w:w="90" w:type="dxa"/>
              <w:start w:w="110" w:type="dxa"/>
              <w:bottom w:w="90" w:type="dxa"/>
              <w:end w:w="110" w:type="dxa"/>
            </w:tcMar>
            <w:vAlign w:val="center"/>
          </w:tcPr>
          <w:p>
            <w:pPr>
              <w:spacing w:after="0"/>
            </w:pPr>
            <w:r>
              <w:rPr>
                <w:rFonts w:ascii="Calibri" w:hAnsi="Calibri"/>
                <w:sz w:val="18"/>
              </w:rPr>
              <w:t>AES-256 at rest, TLS 1.3 in transit and self-encrypting drives where supported.</w:t>
            </w:r>
          </w:p>
        </w:tc>
      </w:tr>
      <w:tr>
        <w:tc>
          <w:tcPr>
            <w:tcW w:type="dxa" w:w="2304"/>
            <w:tcMar>
              <w:top w:w="90" w:type="dxa"/>
              <w:start w:w="110" w:type="dxa"/>
              <w:bottom w:w="90" w:type="dxa"/>
              <w:end w:w="110" w:type="dxa"/>
            </w:tcMar>
            <w:vAlign w:val="center"/>
            <w:shd w:fill="EAF0F5"/>
          </w:tcPr>
          <w:p>
            <w:pPr>
              <w:spacing w:after="0"/>
            </w:pPr>
            <w:r>
              <w:rPr>
                <w:rFonts w:ascii="Calibri" w:hAnsi="Calibri"/>
                <w:sz w:val="18"/>
              </w:rPr>
              <w:t>Key management</w:t>
            </w:r>
          </w:p>
        </w:tc>
        <w:tc>
          <w:tcPr>
            <w:tcW w:type="dxa" w:w="7776"/>
            <w:tcMar>
              <w:top w:w="90" w:type="dxa"/>
              <w:start w:w="110" w:type="dxa"/>
              <w:bottom w:w="90" w:type="dxa"/>
              <w:end w:w="110" w:type="dxa"/>
            </w:tcMar>
            <w:vAlign w:val="center"/>
            <w:shd w:fill="EAF0F5"/>
          </w:tcPr>
          <w:p>
            <w:pPr>
              <w:spacing w:after="0"/>
            </w:pPr>
            <w:r>
              <w:rPr>
                <w:rFonts w:ascii="Calibri" w:hAnsi="Calibri"/>
                <w:sz w:val="18"/>
              </w:rPr>
              <w:t>Customer-controlled KMS or HSM keys, rotation and tenant-separated encryption domains.</w:t>
            </w:r>
          </w:p>
        </w:tc>
      </w:tr>
      <w:tr>
        <w:tc>
          <w:tcPr>
            <w:tcW w:type="dxa" w:w="2304"/>
            <w:tcMar>
              <w:top w:w="90" w:type="dxa"/>
              <w:start w:w="110" w:type="dxa"/>
              <w:bottom w:w="90" w:type="dxa"/>
              <w:end w:w="110" w:type="dxa"/>
            </w:tcMar>
            <w:vAlign w:val="center"/>
          </w:tcPr>
          <w:p>
            <w:pPr>
              <w:spacing w:after="0"/>
            </w:pPr>
            <w:r>
              <w:rPr>
                <w:rFonts w:ascii="Calibri" w:hAnsi="Calibri"/>
                <w:sz w:val="18"/>
              </w:rPr>
              <w:t>Platform trust</w:t>
            </w:r>
          </w:p>
        </w:tc>
        <w:tc>
          <w:tcPr>
            <w:tcW w:type="dxa" w:w="7776"/>
            <w:tcMar>
              <w:top w:w="90" w:type="dxa"/>
              <w:start w:w="110" w:type="dxa"/>
              <w:bottom w:w="90" w:type="dxa"/>
              <w:end w:w="110" w:type="dxa"/>
            </w:tcMar>
            <w:vAlign w:val="center"/>
          </w:tcPr>
          <w:p>
            <w:pPr>
              <w:spacing w:after="0"/>
            </w:pPr>
            <w:r>
              <w:rPr>
                <w:rFonts w:ascii="Calibri" w:hAnsi="Calibri"/>
                <w:sz w:val="18"/>
              </w:rPr>
              <w:t>Secure Boot, hardware root of trust, signed firmware and measured boot.</w:t>
            </w:r>
          </w:p>
        </w:tc>
      </w:tr>
      <w:tr>
        <w:tc>
          <w:tcPr>
            <w:tcW w:type="dxa" w:w="2304"/>
            <w:tcMar>
              <w:top w:w="90" w:type="dxa"/>
              <w:start w:w="110" w:type="dxa"/>
              <w:bottom w:w="90" w:type="dxa"/>
              <w:end w:w="110" w:type="dxa"/>
            </w:tcMar>
            <w:vAlign w:val="center"/>
            <w:shd w:fill="EAF0F5"/>
          </w:tcPr>
          <w:p>
            <w:pPr>
              <w:spacing w:after="0"/>
            </w:pPr>
            <w:r>
              <w:rPr>
                <w:rFonts w:ascii="Calibri" w:hAnsi="Calibri"/>
                <w:sz w:val="18"/>
              </w:rPr>
              <w:t>Access</w:t>
            </w:r>
          </w:p>
        </w:tc>
        <w:tc>
          <w:tcPr>
            <w:tcW w:type="dxa" w:w="7776"/>
            <w:tcMar>
              <w:top w:w="90" w:type="dxa"/>
              <w:start w:w="110" w:type="dxa"/>
              <w:bottom w:w="90" w:type="dxa"/>
              <w:end w:w="110" w:type="dxa"/>
            </w:tcMar>
            <w:vAlign w:val="center"/>
            <w:shd w:fill="EAF0F5"/>
          </w:tcPr>
          <w:p>
            <w:pPr>
              <w:spacing w:after="0"/>
            </w:pPr>
            <w:r>
              <w:rPr>
                <w:rFonts w:ascii="Calibri" w:hAnsi="Calibri"/>
                <w:sz w:val="18"/>
              </w:rPr>
              <w:t>MFA, RBAC/ABAC, least privilege and just-in-time administration.</w:t>
            </w:r>
          </w:p>
        </w:tc>
      </w:tr>
      <w:tr>
        <w:tc>
          <w:tcPr>
            <w:tcW w:type="dxa" w:w="2304"/>
            <w:tcMar>
              <w:top w:w="90" w:type="dxa"/>
              <w:start w:w="110" w:type="dxa"/>
              <w:bottom w:w="90" w:type="dxa"/>
              <w:end w:w="110" w:type="dxa"/>
            </w:tcMar>
            <w:vAlign w:val="center"/>
          </w:tcPr>
          <w:p>
            <w:pPr>
              <w:spacing w:after="0"/>
            </w:pPr>
            <w:r>
              <w:rPr>
                <w:rFonts w:ascii="Calibri" w:hAnsi="Calibri"/>
                <w:sz w:val="18"/>
              </w:rPr>
              <w:t>Recovery</w:t>
            </w:r>
          </w:p>
        </w:tc>
        <w:tc>
          <w:tcPr>
            <w:tcW w:type="dxa" w:w="7776"/>
            <w:tcMar>
              <w:top w:w="90" w:type="dxa"/>
              <w:start w:w="110" w:type="dxa"/>
              <w:bottom w:w="90" w:type="dxa"/>
              <w:end w:w="110" w:type="dxa"/>
            </w:tcMar>
            <w:vAlign w:val="center"/>
          </w:tcPr>
          <w:p>
            <w:pPr>
              <w:spacing w:after="0"/>
            </w:pPr>
            <w:r>
              <w:rPr>
                <w:rFonts w:ascii="Calibri" w:hAnsi="Calibri"/>
                <w:sz w:val="18"/>
              </w:rPr>
              <w:t>Immutable snapshots, Object Lock and ransomware-protected recovery copies.</w:t>
            </w:r>
          </w:p>
        </w:tc>
      </w:tr>
      <w:tr>
        <w:tc>
          <w:tcPr>
            <w:tcW w:type="dxa" w:w="2304"/>
            <w:tcMar>
              <w:top w:w="90" w:type="dxa"/>
              <w:start w:w="110" w:type="dxa"/>
              <w:bottom w:w="90" w:type="dxa"/>
              <w:end w:w="110" w:type="dxa"/>
            </w:tcMar>
            <w:vAlign w:val="center"/>
            <w:shd w:fill="EAF0F5"/>
          </w:tcPr>
          <w:p>
            <w:pPr>
              <w:spacing w:after="0"/>
            </w:pPr>
            <w:r>
              <w:rPr>
                <w:rFonts w:ascii="Calibri" w:hAnsi="Calibri"/>
                <w:sz w:val="18"/>
              </w:rPr>
              <w:t>Monitoring</w:t>
            </w:r>
          </w:p>
        </w:tc>
        <w:tc>
          <w:tcPr>
            <w:tcW w:type="dxa" w:w="7776"/>
            <w:tcMar>
              <w:top w:w="90" w:type="dxa"/>
              <w:start w:w="110" w:type="dxa"/>
              <w:bottom w:w="90" w:type="dxa"/>
              <w:end w:w="110" w:type="dxa"/>
            </w:tcMar>
            <w:vAlign w:val="center"/>
            <w:shd w:fill="EAF0F5"/>
          </w:tcPr>
          <w:p>
            <w:pPr>
              <w:spacing w:after="0"/>
            </w:pPr>
            <w:r>
              <w:rPr>
                <w:rFonts w:ascii="Calibri" w:hAnsi="Calibri"/>
                <w:sz w:val="18"/>
              </w:rPr>
              <w:t>SIEM integration, anomaly detection, exfiltration controls and complete audit trails.</w:t>
            </w:r>
          </w:p>
        </w:tc>
      </w:tr>
    </w:tbl>
    <w:p>
      <w:pPr>
        <w:spacing w:after="80" w:line="247" w:lineRule="auto"/>
      </w:pPr>
    </w:p>
    <w:p>
      <w:pPr>
        <w:pStyle w:val="Heading1"/>
        <w:keepNext/>
        <w:spacing w:before="200" w:after="80"/>
      </w:pPr>
      <w:r>
        <w:rPr>
          <w:rFonts w:ascii="Calibri" w:hAnsi="Calibri"/>
          <w:b/>
          <w:color w:val="143755"/>
          <w:sz w:val="30"/>
        </w:rPr>
        <w:t>8. Resilience, Operations and Performance</w:t>
      </w:r>
    </w:p>
    <w:p>
      <w:pPr>
        <w:pStyle w:val="Heading2"/>
        <w:keepNext/>
        <w:spacing w:before="200" w:after="80"/>
      </w:pPr>
      <w:r>
        <w:rPr>
          <w:rFonts w:ascii="Calibri" w:hAnsi="Calibri"/>
          <w:b/>
          <w:color w:val="225870"/>
          <w:sz w:val="24"/>
        </w:rPr>
        <w:t>Availability and Recoverability</w:t>
      </w:r>
    </w:p>
    <w:p>
      <w:pPr>
        <w:pStyle w:val="ListBullet"/>
        <w:spacing w:after="40" w:line="240" w:lineRule="auto"/>
      </w:pPr>
      <w:r>
        <w:rPr>
          <w:rFonts w:ascii="Calibri" w:hAnsi="Calibri"/>
          <w:sz w:val="21"/>
        </w:rPr>
        <w:t>Dual power feeds, redundant power distribution and dual management controllers.</w:t>
      </w:r>
    </w:p>
    <w:p>
      <w:pPr>
        <w:pStyle w:val="ListBullet"/>
        <w:spacing w:after="40" w:line="240" w:lineRule="auto"/>
      </w:pPr>
      <w:r>
        <w:rPr>
          <w:rFonts w:ascii="Calibri" w:hAnsi="Calibri"/>
          <w:sz w:val="21"/>
        </w:rPr>
        <w:t>Dual Spectrum-X network planes and independent NIC paths.</w:t>
      </w:r>
    </w:p>
    <w:p>
      <w:pPr>
        <w:pStyle w:val="ListBullet"/>
        <w:spacing w:after="40" w:line="240" w:lineRule="auto"/>
      </w:pPr>
      <w:r>
        <w:rPr>
          <w:rFonts w:ascii="Calibri" w:hAnsi="Calibri"/>
          <w:sz w:val="21"/>
        </w:rPr>
        <w:t>Multiple storage, enclosure and PCIe fault domains.</w:t>
      </w:r>
    </w:p>
    <w:p>
      <w:pPr>
        <w:pStyle w:val="ListBullet"/>
        <w:spacing w:after="40" w:line="240" w:lineRule="auto"/>
      </w:pPr>
      <w:r>
        <w:rPr>
          <w:rFonts w:ascii="Calibri" w:hAnsi="Calibri"/>
          <w:sz w:val="21"/>
        </w:rPr>
        <w:t>Distributed metadata, erasure coding and automated data rebalancing.</w:t>
      </w:r>
    </w:p>
    <w:p>
      <w:pPr>
        <w:pStyle w:val="ListBullet"/>
        <w:spacing w:after="40" w:line="240" w:lineRule="auto"/>
      </w:pPr>
      <w:r>
        <w:rPr>
          <w:rFonts w:ascii="Calibri" w:hAnsi="Calibri"/>
          <w:sz w:val="21"/>
        </w:rPr>
        <w:t>Non-disruptive software and firmware upgrades.</w:t>
      </w:r>
    </w:p>
    <w:p>
      <w:pPr>
        <w:pStyle w:val="ListBullet"/>
        <w:spacing w:after="40" w:line="240" w:lineRule="auto"/>
      </w:pPr>
      <w:r>
        <w:rPr>
          <w:rFonts w:ascii="Calibri" w:hAnsi="Calibri"/>
          <w:sz w:val="21"/>
        </w:rPr>
        <w:t>Immutable local recovery points and cloud or second-site replication.</w:t>
      </w:r>
    </w:p>
    <w:p>
      <w:pPr>
        <w:pStyle w:val="ListBullet"/>
        <w:spacing w:after="40" w:line="240" w:lineRule="auto"/>
      </w:pPr>
      <w:r>
        <w:rPr>
          <w:rFonts w:ascii="Calibri" w:hAnsi="Calibri"/>
          <w:sz w:val="21"/>
        </w:rPr>
        <w:t>Active-active access across multiple AI clusters where required.</w:t>
      </w:r>
    </w:p>
    <w:p>
      <w:pPr>
        <w:keepNext w:val="0"/>
        <w:spacing w:after="80" w:line="247" w:lineRule="auto"/>
      </w:pPr>
      <w:r>
        <w:rPr>
          <w:rFonts w:ascii="Calibri" w:hAnsi="Calibri"/>
          <w:sz w:val="21"/>
        </w:rPr>
        <w:t>A full rack must not be treated as the only recoverability boundary. Critical datasets should remain recoverable from another rack, availability zone, data center or approved cloud-object repository.</w:t>
      </w:r>
    </w:p>
    <w:p>
      <w:pPr>
        <w:pStyle w:val="Heading2"/>
        <w:keepNext/>
        <w:spacing w:before="200" w:after="80"/>
      </w:pPr>
      <w:r>
        <w:rPr>
          <w:rFonts w:ascii="Calibri" w:hAnsi="Calibri"/>
          <w:b/>
          <w:color w:val="225870"/>
          <w:sz w:val="24"/>
        </w:rPr>
        <w:t>Target Engineering Profile</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880"/>
            <w:shd w:fill="163A5F"/>
            <w:vAlign w:val="center"/>
            <w:tcMar>
              <w:top w:w="90" w:type="dxa"/>
              <w:start w:w="110" w:type="dxa"/>
              <w:bottom w:w="90" w:type="dxa"/>
              <w:end w:w="110" w:type="dxa"/>
            </w:tcMar>
          </w:tcPr>
          <w:p>
            <w:pPr>
              <w:jc w:val="center"/>
            </w:pPr>
            <w:r>
              <w:rPr>
                <w:rFonts w:ascii="Calibri" w:hAnsi="Calibri"/>
                <w:b/>
                <w:color w:val="FFFFFF"/>
                <w:sz w:val="19"/>
              </w:rPr>
              <w:t>Capability</w:t>
            </w:r>
          </w:p>
        </w:tc>
        <w:tc>
          <w:tcPr>
            <w:tcW w:type="dxa" w:w="7200"/>
            <w:shd w:fill="163A5F"/>
            <w:vAlign w:val="center"/>
            <w:tcMar>
              <w:top w:w="90" w:type="dxa"/>
              <w:start w:w="110" w:type="dxa"/>
              <w:bottom w:w="90" w:type="dxa"/>
              <w:end w:w="110" w:type="dxa"/>
            </w:tcMar>
          </w:tcPr>
          <w:p>
            <w:pPr>
              <w:jc w:val="center"/>
            </w:pPr>
            <w:r>
              <w:rPr>
                <w:rFonts w:ascii="Calibri" w:hAnsi="Calibri"/>
                <w:b/>
                <w:color w:val="FFFFFF"/>
                <w:sz w:val="19"/>
              </w:rPr>
              <w:t>Architecture Target</w:t>
            </w:r>
          </w:p>
        </w:tc>
      </w:tr>
      <w:tr>
        <w:tc>
          <w:tcPr>
            <w:tcW w:type="dxa" w:w="2880"/>
            <w:tcMar>
              <w:top w:w="90" w:type="dxa"/>
              <w:start w:w="110" w:type="dxa"/>
              <w:bottom w:w="90" w:type="dxa"/>
              <w:end w:w="110" w:type="dxa"/>
            </w:tcMar>
            <w:vAlign w:val="center"/>
          </w:tcPr>
          <w:p>
            <w:pPr>
              <w:spacing w:after="0"/>
            </w:pPr>
            <w:r>
              <w:rPr>
                <w:rFonts w:ascii="Calibri" w:hAnsi="Calibri"/>
                <w:sz w:val="18"/>
              </w:rPr>
              <w:t>Effective capacity</w:t>
            </w:r>
          </w:p>
        </w:tc>
        <w:tc>
          <w:tcPr>
            <w:tcW w:type="dxa" w:w="7200"/>
            <w:tcMar>
              <w:top w:w="90" w:type="dxa"/>
              <w:start w:w="110" w:type="dxa"/>
              <w:bottom w:w="90" w:type="dxa"/>
              <w:end w:w="110" w:type="dxa"/>
            </w:tcMar>
            <w:vAlign w:val="center"/>
          </w:tcPr>
          <w:p>
            <w:pPr>
              <w:spacing w:after="0"/>
            </w:pPr>
            <w:r>
              <w:rPr>
                <w:rFonts w:ascii="Calibri" w:hAnsi="Calibri"/>
                <w:sz w:val="18"/>
              </w:rPr>
              <w:t>Up to 1.1 EB per rack, subject to data-reduction and protection assumptions.</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Raw flash foundation</w:t>
            </w:r>
          </w:p>
        </w:tc>
        <w:tc>
          <w:tcPr>
            <w:tcW w:type="dxa" w:w="7200"/>
            <w:tcMar>
              <w:top w:w="90" w:type="dxa"/>
              <w:start w:w="110" w:type="dxa"/>
              <w:bottom w:w="90" w:type="dxa"/>
              <w:end w:w="110" w:type="dxa"/>
            </w:tcMar>
            <w:vAlign w:val="center"/>
            <w:shd w:fill="EAF0F5"/>
          </w:tcPr>
          <w:p>
            <w:pPr>
              <w:spacing w:after="0"/>
            </w:pPr>
            <w:r>
              <w:rPr>
                <w:rFonts w:ascii="Calibri" w:hAnsi="Calibri"/>
                <w:sz w:val="18"/>
              </w:rPr>
              <w:t>High-density NVMe media sized during detailed engineering.</w:t>
            </w:r>
          </w:p>
        </w:tc>
      </w:tr>
      <w:tr>
        <w:tc>
          <w:tcPr>
            <w:tcW w:type="dxa" w:w="2880"/>
            <w:tcMar>
              <w:top w:w="90" w:type="dxa"/>
              <w:start w:w="110" w:type="dxa"/>
              <w:bottom w:w="90" w:type="dxa"/>
              <w:end w:w="110" w:type="dxa"/>
            </w:tcMar>
            <w:vAlign w:val="center"/>
          </w:tcPr>
          <w:p>
            <w:pPr>
              <w:spacing w:after="0"/>
            </w:pPr>
            <w:r>
              <w:rPr>
                <w:rFonts w:ascii="Calibri" w:hAnsi="Calibri"/>
                <w:sz w:val="18"/>
              </w:rPr>
              <w:t>Sequential throughput</w:t>
            </w:r>
          </w:p>
        </w:tc>
        <w:tc>
          <w:tcPr>
            <w:tcW w:type="dxa" w:w="7200"/>
            <w:tcMar>
              <w:top w:w="90" w:type="dxa"/>
              <w:start w:w="110" w:type="dxa"/>
              <w:bottom w:w="90" w:type="dxa"/>
              <w:end w:w="110" w:type="dxa"/>
            </w:tcMar>
            <w:vAlign w:val="center"/>
          </w:tcPr>
          <w:p>
            <w:pPr>
              <w:spacing w:after="0"/>
            </w:pPr>
            <w:r>
              <w:rPr>
                <w:rFonts w:ascii="Calibri" w:hAnsi="Calibri"/>
                <w:sz w:val="18"/>
              </w:rPr>
              <w:t>Multi-terabyte-per-second rack-scale design target.</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Random performance</w:t>
            </w:r>
          </w:p>
        </w:tc>
        <w:tc>
          <w:tcPr>
            <w:tcW w:type="dxa" w:w="7200"/>
            <w:tcMar>
              <w:top w:w="90" w:type="dxa"/>
              <w:start w:w="110" w:type="dxa"/>
              <w:bottom w:w="90" w:type="dxa"/>
              <w:end w:w="110" w:type="dxa"/>
            </w:tcMar>
            <w:vAlign w:val="center"/>
            <w:shd w:fill="EAF0F5"/>
          </w:tcPr>
          <w:p>
            <w:pPr>
              <w:spacing w:after="0"/>
            </w:pPr>
            <w:r>
              <w:rPr>
                <w:rFonts w:ascii="Calibri" w:hAnsi="Calibri"/>
                <w:sz w:val="18"/>
              </w:rPr>
              <w:t>Hundreds of millions of IOPS target, workload dependent.</w:t>
            </w:r>
          </w:p>
        </w:tc>
      </w:tr>
      <w:tr>
        <w:tc>
          <w:tcPr>
            <w:tcW w:type="dxa" w:w="2880"/>
            <w:tcMar>
              <w:top w:w="90" w:type="dxa"/>
              <w:start w:w="110" w:type="dxa"/>
              <w:bottom w:w="90" w:type="dxa"/>
              <w:end w:w="110" w:type="dxa"/>
            </w:tcMar>
            <w:vAlign w:val="center"/>
          </w:tcPr>
          <w:p>
            <w:pPr>
              <w:spacing w:after="0"/>
            </w:pPr>
            <w:r>
              <w:rPr>
                <w:rFonts w:ascii="Calibri" w:hAnsi="Calibri"/>
                <w:sz w:val="18"/>
              </w:rPr>
              <w:t>Compute connectivity</w:t>
            </w:r>
          </w:p>
        </w:tc>
        <w:tc>
          <w:tcPr>
            <w:tcW w:type="dxa" w:w="7200"/>
            <w:tcMar>
              <w:top w:w="90" w:type="dxa"/>
              <w:start w:w="110" w:type="dxa"/>
              <w:bottom w:w="90" w:type="dxa"/>
              <w:end w:w="110" w:type="dxa"/>
            </w:tcMar>
            <w:vAlign w:val="center"/>
          </w:tcPr>
          <w:p>
            <w:pPr>
              <w:spacing w:after="0"/>
            </w:pPr>
            <w:r>
              <w:rPr>
                <w:rFonts w:ascii="Calibri" w:hAnsi="Calibri"/>
                <w:sz w:val="18"/>
              </w:rPr>
              <w:t>400/800 GbE Spectrum-X with dual nonblocking fabrics.</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Internal interconnect</w:t>
            </w:r>
          </w:p>
        </w:tc>
        <w:tc>
          <w:tcPr>
            <w:tcW w:type="dxa" w:w="7200"/>
            <w:tcMar>
              <w:top w:w="90" w:type="dxa"/>
              <w:start w:w="110" w:type="dxa"/>
              <w:bottom w:w="90" w:type="dxa"/>
              <w:end w:w="110" w:type="dxa"/>
            </w:tcMar>
            <w:vAlign w:val="center"/>
            <w:shd w:fill="EAF0F5"/>
          </w:tcPr>
          <w:p>
            <w:pPr>
              <w:spacing w:after="0"/>
            </w:pPr>
            <w:r>
              <w:rPr>
                <w:rFonts w:ascii="Calibri" w:hAnsi="Calibri"/>
                <w:sz w:val="18"/>
              </w:rPr>
              <w:t>PCIe Gen 6 deployable and Gen 7 ready.</w:t>
            </w:r>
          </w:p>
        </w:tc>
      </w:tr>
      <w:tr>
        <w:tc>
          <w:tcPr>
            <w:tcW w:type="dxa" w:w="2880"/>
            <w:tcMar>
              <w:top w:w="90" w:type="dxa"/>
              <w:start w:w="110" w:type="dxa"/>
              <w:bottom w:w="90" w:type="dxa"/>
              <w:end w:w="110" w:type="dxa"/>
            </w:tcMar>
            <w:vAlign w:val="center"/>
          </w:tcPr>
          <w:p>
            <w:pPr>
              <w:spacing w:after="0"/>
            </w:pPr>
            <w:r>
              <w:rPr>
                <w:rFonts w:ascii="Calibri" w:hAnsi="Calibri"/>
                <w:sz w:val="18"/>
              </w:rPr>
              <w:t>Availability</w:t>
            </w:r>
          </w:p>
        </w:tc>
        <w:tc>
          <w:tcPr>
            <w:tcW w:type="dxa" w:w="7200"/>
            <w:tcMar>
              <w:top w:w="90" w:type="dxa"/>
              <w:start w:w="110" w:type="dxa"/>
              <w:bottom w:w="90" w:type="dxa"/>
              <w:end w:w="110" w:type="dxa"/>
            </w:tcMar>
            <w:vAlign w:val="center"/>
          </w:tcPr>
          <w:p>
            <w:pPr>
              <w:spacing w:after="0"/>
            </w:pPr>
            <w:r>
              <w:rPr>
                <w:rFonts w:ascii="Calibri" w:hAnsi="Calibri"/>
                <w:sz w:val="18"/>
              </w:rPr>
              <w:t>No single point of failure and independent recoverability domains.</w:t>
            </w:r>
          </w:p>
        </w:tc>
      </w:tr>
      <w:tr>
        <w:tc>
          <w:tcPr>
            <w:tcW w:type="dxa" w:w="2880"/>
            <w:tcMar>
              <w:top w:w="90" w:type="dxa"/>
              <w:start w:w="110" w:type="dxa"/>
              <w:bottom w:w="90" w:type="dxa"/>
              <w:end w:w="110" w:type="dxa"/>
            </w:tcMar>
            <w:vAlign w:val="center"/>
            <w:shd w:fill="EAF0F5"/>
          </w:tcPr>
          <w:p>
            <w:pPr>
              <w:spacing w:after="0"/>
            </w:pPr>
            <w:r>
              <w:rPr>
                <w:rFonts w:ascii="Calibri" w:hAnsi="Calibri"/>
                <w:sz w:val="18"/>
              </w:rPr>
              <w:t>Access protocols</w:t>
            </w:r>
          </w:p>
        </w:tc>
        <w:tc>
          <w:tcPr>
            <w:tcW w:type="dxa" w:w="7200"/>
            <w:tcMar>
              <w:top w:w="90" w:type="dxa"/>
              <w:start w:w="110" w:type="dxa"/>
              <w:bottom w:w="90" w:type="dxa"/>
              <w:end w:w="110" w:type="dxa"/>
            </w:tcMar>
            <w:vAlign w:val="center"/>
            <w:shd w:fill="EAF0F5"/>
          </w:tcPr>
          <w:p>
            <w:pPr>
              <w:spacing w:after="0"/>
            </w:pPr>
            <w:r>
              <w:rPr>
                <w:rFonts w:ascii="Calibri" w:hAnsi="Calibri"/>
                <w:sz w:val="18"/>
              </w:rPr>
              <w:t>POSIX, NFS, SMB, S3 and Kubernetes CSI.</w:t>
            </w:r>
          </w:p>
        </w:tc>
      </w:tr>
      <w:tr>
        <w:tc>
          <w:tcPr>
            <w:tcW w:type="dxa" w:w="2880"/>
            <w:tcMar>
              <w:top w:w="90" w:type="dxa"/>
              <w:start w:w="110" w:type="dxa"/>
              <w:bottom w:w="90" w:type="dxa"/>
              <w:end w:w="110" w:type="dxa"/>
            </w:tcMar>
            <w:vAlign w:val="center"/>
          </w:tcPr>
          <w:p>
            <w:pPr>
              <w:spacing w:after="0"/>
            </w:pPr>
            <w:r>
              <w:rPr>
                <w:rFonts w:ascii="Calibri" w:hAnsi="Calibri"/>
                <w:sz w:val="18"/>
              </w:rPr>
              <w:t>Encryption</w:t>
            </w:r>
          </w:p>
        </w:tc>
        <w:tc>
          <w:tcPr>
            <w:tcW w:type="dxa" w:w="7200"/>
            <w:tcMar>
              <w:top w:w="90" w:type="dxa"/>
              <w:start w:w="110" w:type="dxa"/>
              <w:bottom w:w="90" w:type="dxa"/>
              <w:end w:w="110" w:type="dxa"/>
            </w:tcMar>
            <w:vAlign w:val="center"/>
          </w:tcPr>
          <w:p>
            <w:pPr>
              <w:spacing w:after="0"/>
            </w:pPr>
            <w:r>
              <w:rPr>
                <w:rFonts w:ascii="Calibri" w:hAnsi="Calibri"/>
                <w:sz w:val="18"/>
              </w:rPr>
              <w:t>AES-256 at rest and TLS 1.3 in transit.</w:t>
            </w:r>
          </w:p>
        </w:tc>
      </w:tr>
    </w:tbl>
    <w:p>
      <w:pPr>
        <w:spacing w:after="80" w:line="247" w:lineRule="auto"/>
      </w:pPr>
    </w:p>
    <w:p>
      <w:pPr>
        <w:keepNext w:val="0"/>
        <w:spacing w:after="80" w:line="247" w:lineRule="auto"/>
      </w:pPr>
      <w:r>
        <w:rPr>
          <w:rFonts w:ascii="Calibri" w:hAnsi="Calibri"/>
          <w:sz w:val="21"/>
        </w:rPr>
        <w:t>Final capacity, IOPS and throughput must be validated against node count, SSD model, compression ratio, read/write mix, metadata intensity, network topology and erasure-coding policy.</w:t>
      </w:r>
    </w:p>
    <w:p>
      <w:pPr>
        <w:pStyle w:val="Heading2"/>
        <w:keepNext/>
        <w:spacing w:before="200" w:after="80"/>
      </w:pPr>
      <w:r>
        <w:rPr>
          <w:rFonts w:ascii="Calibri" w:hAnsi="Calibri"/>
          <w:b/>
          <w:color w:val="225870"/>
          <w:sz w:val="24"/>
        </w:rPr>
        <w:t>Operational Telemetry</w:t>
      </w:r>
    </w:p>
    <w:p>
      <w:pPr>
        <w:pStyle w:val="ListBullet"/>
        <w:spacing w:after="40" w:line="240" w:lineRule="auto"/>
      </w:pPr>
      <w:r>
        <w:rPr>
          <w:rFonts w:ascii="Calibri" w:hAnsi="Calibri"/>
          <w:sz w:val="21"/>
        </w:rPr>
        <w:t>GPU starvation and storage queue latency.</w:t>
      </w:r>
    </w:p>
    <w:p>
      <w:pPr>
        <w:pStyle w:val="ListBullet"/>
        <w:spacing w:after="40" w:line="240" w:lineRule="auto"/>
      </w:pPr>
      <w:r>
        <w:rPr>
          <w:rFonts w:ascii="Calibri" w:hAnsi="Calibri"/>
          <w:sz w:val="21"/>
        </w:rPr>
        <w:t>Throughput, IOPS, cache hit rate and metadata latency.</w:t>
      </w:r>
    </w:p>
    <w:p>
      <w:pPr>
        <w:pStyle w:val="ListBullet"/>
        <w:spacing w:after="40" w:line="240" w:lineRule="auto"/>
      </w:pPr>
      <w:r>
        <w:rPr>
          <w:rFonts w:ascii="Calibri" w:hAnsi="Calibri"/>
          <w:sz w:val="21"/>
        </w:rPr>
        <w:t>Tier-promotion and demotion effectiveness.</w:t>
      </w:r>
    </w:p>
    <w:p>
      <w:pPr>
        <w:pStyle w:val="ListBullet"/>
        <w:spacing w:after="40" w:line="240" w:lineRule="auto"/>
      </w:pPr>
      <w:r>
        <w:rPr>
          <w:rFonts w:ascii="Calibri" w:hAnsi="Calibri"/>
          <w:sz w:val="21"/>
        </w:rPr>
        <w:t>Capacity efficiency, compression and deduplication ratios.</w:t>
      </w:r>
    </w:p>
    <w:p>
      <w:pPr>
        <w:pStyle w:val="ListBullet"/>
        <w:spacing w:after="40" w:line="240" w:lineRule="auto"/>
      </w:pPr>
      <w:r>
        <w:rPr>
          <w:rFonts w:ascii="Calibri" w:hAnsi="Calibri"/>
          <w:sz w:val="21"/>
        </w:rPr>
        <w:t>Cloud egress, object lifecycle and cost-to-serve.</w:t>
      </w:r>
    </w:p>
    <w:p>
      <w:pPr>
        <w:pStyle w:val="ListBullet"/>
        <w:spacing w:after="40" w:line="240" w:lineRule="auto"/>
      </w:pPr>
      <w:r>
        <w:rPr>
          <w:rFonts w:ascii="Calibri" w:hAnsi="Calibri"/>
          <w:sz w:val="21"/>
        </w:rPr>
        <w:t>Authentication risk, masking actions, denied access and anomaly events.</w:t>
      </w:r>
    </w:p>
    <w:p>
      <w:pPr>
        <w:pStyle w:val="ListBullet"/>
        <w:spacing w:after="40" w:line="240" w:lineRule="auto"/>
      </w:pPr>
      <w:r>
        <w:rPr>
          <w:rFonts w:ascii="Calibri" w:hAnsi="Calibri"/>
          <w:sz w:val="21"/>
        </w:rPr>
        <w:t>Recovery-point compliance, snapshot integrity and replication lag.</w:t>
      </w:r>
    </w:p>
    <w:p>
      <w:pPr>
        <w:pStyle w:val="Heading1"/>
        <w:keepNext/>
        <w:spacing w:before="200" w:after="80"/>
      </w:pPr>
      <w:r>
        <w:rPr>
          <w:rFonts w:ascii="Calibri" w:hAnsi="Calibri"/>
          <w:b/>
          <w:color w:val="143755"/>
          <w:sz w:val="30"/>
        </w:rPr>
        <w:t>9. Executive Architecture Statement</w:t>
      </w:r>
    </w:p>
    <w:tbl>
      <w:tblPr>
        <w:tblW w:type="auto" w:w="0"/>
        <w:jc w:val="center"/>
        <w:tblLook w:firstColumn="1" w:firstRow="1" w:lastColumn="0" w:lastRow="0" w:noHBand="0" w:noVBand="1" w:val="04A0"/>
      </w:tblPr>
      <w:tblGrid>
        <w:gridCol w:w="10166"/>
      </w:tblGrid>
      <w:tr>
        <w:tc>
          <w:tcPr>
            <w:tcW w:type="dxa" w:w="10166"/>
            <w:shd w:fill="163A5F"/>
            <w:tcMar>
              <w:top w:w="280" w:type="dxa"/>
              <w:start w:w="300" w:type="dxa"/>
              <w:bottom w:w="280" w:type="dxa"/>
              <w:end w:w="300" w:type="dxa"/>
            </w:tcMar>
          </w:tcPr>
          <w:p>
            <w:r>
              <w:rPr>
                <w:rFonts w:ascii="Calibri" w:hAnsi="Calibri"/>
                <w:b/>
                <w:color w:val="FFFFFF"/>
                <w:sz w:val="24"/>
              </w:rPr>
              <w:t>The fourth-generation AI Storage Appliance establishes a unified, GPU-aware data fabric that combines NeuralMesh intelligence, high-density NVMe flash, PCIe Gen 6 connectivity with a Gen 7-ready roadmap, and NVIDIA Spectrum-X Ethernet. Its policy-driven synthetic-intelligence engine predicts data demand and dynamically positions datasets across memory, performance flash, capacity flash and encrypted cloud-object tiers. Every data request is evaluated through zero-trust controls that combine encryption, multifactor authentication, contextual authorization, data obfuscation, tokenization, pseudonymization and synthetic-data substitution. The resulting platform provides the throughput, security, availability and data mobility required for large-scale AI training, inference, RAG and agentic-computing environments.</w:t>
            </w:r>
          </w:p>
        </w:tc>
      </w:tr>
    </w:tbl>
    <w:p>
      <w:pPr>
        <w:pStyle w:val="Heading2"/>
        <w:keepNext/>
        <w:spacing w:before="200" w:after="80"/>
      </w:pPr>
      <w:r>
        <w:rPr>
          <w:rFonts w:ascii="Calibri" w:hAnsi="Calibri"/>
          <w:b/>
          <w:color w:val="225870"/>
          <w:sz w:val="24"/>
        </w:rPr>
        <w:t>Recommended Next Engineering Deliverables</w:t>
      </w:r>
    </w:p>
    <w:p>
      <w:pPr>
        <w:pStyle w:val="ListBullet"/>
        <w:spacing w:after="40" w:line="240" w:lineRule="auto"/>
      </w:pPr>
      <w:r>
        <w:rPr>
          <w:rFonts w:ascii="Calibri" w:hAnsi="Calibri"/>
          <w:sz w:val="21"/>
        </w:rPr>
        <w:t>Detailed rack-level bill of materials and power/cooling model.</w:t>
      </w:r>
    </w:p>
    <w:p>
      <w:pPr>
        <w:pStyle w:val="ListBullet"/>
        <w:spacing w:after="40" w:line="240" w:lineRule="auto"/>
      </w:pPr>
      <w:r>
        <w:rPr>
          <w:rFonts w:ascii="Calibri" w:hAnsi="Calibri"/>
          <w:sz w:val="21"/>
        </w:rPr>
        <w:t>Nonblocking Spectrum-X leaf-spine port and oversubscription design.</w:t>
      </w:r>
    </w:p>
    <w:p>
      <w:pPr>
        <w:pStyle w:val="ListBullet"/>
        <w:spacing w:after="40" w:line="240" w:lineRule="auto"/>
      </w:pPr>
      <w:r>
        <w:rPr>
          <w:rFonts w:ascii="Calibri" w:hAnsi="Calibri"/>
          <w:sz w:val="21"/>
        </w:rPr>
        <w:t>PCIe lane, root-complex and failure-domain map for each storage node.</w:t>
      </w:r>
    </w:p>
    <w:p>
      <w:pPr>
        <w:pStyle w:val="ListBullet"/>
        <w:spacing w:after="40" w:line="240" w:lineRule="auto"/>
      </w:pPr>
      <w:r>
        <w:rPr>
          <w:rFonts w:ascii="Calibri" w:hAnsi="Calibri"/>
          <w:sz w:val="21"/>
        </w:rPr>
        <w:t>Performance qualification plan for training, checkpoint, RAG and inference workloads.</w:t>
      </w:r>
    </w:p>
    <w:p>
      <w:pPr>
        <w:pStyle w:val="ListBullet"/>
        <w:spacing w:after="40" w:line="240" w:lineRule="auto"/>
      </w:pPr>
      <w:r>
        <w:rPr>
          <w:rFonts w:ascii="Calibri" w:hAnsi="Calibri"/>
          <w:sz w:val="21"/>
        </w:rPr>
        <w:t>Data-classification, masking and synthetic-data policy catalog.</w:t>
      </w:r>
    </w:p>
    <w:p>
      <w:pPr>
        <w:pStyle w:val="ListBullet"/>
        <w:spacing w:after="40" w:line="240" w:lineRule="auto"/>
      </w:pPr>
      <w:r>
        <w:rPr>
          <w:rFonts w:ascii="Calibri" w:hAnsi="Calibri"/>
          <w:sz w:val="21"/>
        </w:rPr>
        <w:t>Threat model, key-management design and cloud trust-boundary assessment.</w:t>
      </w:r>
    </w:p>
    <w:p>
      <w:pPr>
        <w:pStyle w:val="ListBullet"/>
        <w:spacing w:after="40" w:line="240" w:lineRule="auto"/>
      </w:pPr>
      <w:r>
        <w:rPr>
          <w:rFonts w:ascii="Calibri" w:hAnsi="Calibri"/>
          <w:sz w:val="21"/>
        </w:rPr>
        <w:t>High-availability, disaster-recovery and ransomware-recovery test plan.</w:t>
      </w:r>
    </w:p>
    <w:p>
      <w:pPr>
        <w:spacing w:after="80" w:line="247" w:lineRule="auto"/>
      </w:pPr>
      <w:r>
        <w:br w:type="page"/>
      </w:r>
    </w:p>
    <w:p>
      <w:pPr>
        <w:spacing w:after="80" w:line="247" w:lineRule="auto"/>
        <w:jc w:val="center"/>
      </w:pPr>
      <w:r>
        <w:rPr>
          <w:b/>
          <w:color w:val="C55A11"/>
          <w:sz w:val="28"/>
        </w:rPr>
        <w:t>PART II</w:t>
      </w:r>
    </w:p>
    <w:p>
      <w:pPr>
        <w:spacing w:after="80" w:line="247" w:lineRule="auto"/>
        <w:jc w:val="center"/>
      </w:pPr>
      <w:r>
        <w:rPr>
          <w:b/>
          <w:color w:val="17324D"/>
          <w:sz w:val="40"/>
        </w:rPr>
        <w:t>PHYSICAL APPLIANCE DESIGN, COOLING AND PERFORMANCE QUALIFICATION</w:t>
      </w:r>
    </w:p>
    <w:p>
      <w:pPr>
        <w:spacing w:after="80" w:line="247" w:lineRule="auto"/>
        <w:jc w:val="center"/>
      </w:pPr>
      <w:r>
        <w:rPr>
          <w:color w:val="5B6573"/>
          <w:sz w:val="20"/>
        </w:rPr>
        <w:t>Chassis • Internal Flash Placement • Cooling • Build Procedure • 10.2+ TB/s and 300M IOPS Target</w:t>
      </w:r>
    </w:p>
    <w:p>
      <w:pPr>
        <w:pStyle w:val="Heading1"/>
        <w:keepNext/>
        <w:spacing w:before="200" w:after="80"/>
      </w:pPr>
      <w:r>
        <w:t>10. Physical Appliance and Cabinet Specification</w:t>
      </w:r>
    </w:p>
    <w:p>
      <w:pPr>
        <w:spacing w:after="80" w:line="247" w:lineRule="auto"/>
      </w:pPr>
      <w:r>
        <w:t>This section converts the logical architecture into a manufacturing-oriented 48U reference design. It is a preliminary engineering specification. Final mechanical, electrical, thermal, safety, EMC and signal-integrity qualification must be completed with selected vendors before release to production.</w:t>
      </w:r>
    </w:p>
    <w:p>
      <w:pPr>
        <w:pStyle w:val="Heading2"/>
        <w:keepNext/>
        <w:spacing w:before="200" w:after="80"/>
      </w:pPr>
      <w:r>
        <w:t>10.1 Product Design Objectives</w:t>
      </w:r>
    </w:p>
    <w:p>
      <w:pPr>
        <w:pStyle w:val="ListBullet"/>
      </w:pPr>
      <w:r>
        <w:t>Rack-scale parallel storage for AI training, inference, RAG, vector search, checkpointing and synthetic-data pipelines.</w:t>
      </w:r>
    </w:p>
    <w:p>
      <w:pPr>
        <w:pStyle w:val="ListBullet"/>
      </w:pPr>
      <w:r>
        <w:t>Front-serviceable NVMe architecture with independent PCIe, node, network, power and cooling failure domains.</w:t>
      </w:r>
    </w:p>
    <w:p>
      <w:pPr>
        <w:pStyle w:val="ListBullet"/>
      </w:pPr>
      <w:r>
        <w:t>Dual 400/800 GbE AI Ethernet fabrics and a PCIe Gen 6 production target, with Gen 7 mechanical and thermal readiness.</w:t>
      </w:r>
    </w:p>
    <w:p>
      <w:pPr>
        <w:pStyle w:val="ListBullet"/>
      </w:pPr>
      <w:r>
        <w:t>Unified namespace across performance NVMe, capacity flash and encrypted S3-compatible object storage.</w:t>
      </w:r>
    </w:p>
    <w:p>
      <w:pPr>
        <w:pStyle w:val="ListBullet"/>
      </w:pPr>
      <w:r>
        <w:t>Non-disruptive replacement of SSDs, nodes, NICs, fans, power supplies and software services.</w:t>
      </w:r>
    </w:p>
    <w:p>
      <w:pPr>
        <w:pStyle w:val="ListBullet"/>
      </w:pPr>
      <w:r>
        <w:t>Performance qualification for more than 10.2 TB/s aggregate large-block throughput and up to 300 million 4 KB random-read IOPS per fully populated rack.</w:t>
      </w:r>
    </w:p>
    <w:p>
      <w:pPr>
        <w:pStyle w:val="Heading2"/>
        <w:keepNext/>
        <w:spacing w:before="200" w:after="80"/>
      </w:pPr>
      <w:r>
        <w:t>10.2 Cabinet Mechanical Specification</w:t>
      </w:r>
    </w:p>
    <w:tbl>
      <w:tblPr>
        <w:tblStyle w:val="TableGrid"/>
        <w:tblW w:type="auto" w:w="0"/>
        <w:jc w:val="center"/>
        <w:tblLook w:firstColumn="1" w:firstRow="1" w:lastColumn="0" w:lastRow="0" w:noHBand="0" w:noVBand="1" w:val="04A0"/>
      </w:tblPr>
      <w:tblGrid>
        <w:gridCol w:w="5083"/>
        <w:gridCol w:w="5083"/>
      </w:tblGrid>
      <w:tr>
        <w:tc>
          <w:tcPr>
            <w:tcW w:type="dxa" w:w="3168"/>
            <w:vAlign w:val="center"/>
            <w:shd w:fill="1F4E78"/>
          </w:tcPr>
          <w:p>
            <w:r/>
            <w:r>
              <w:rPr>
                <w:b/>
                <w:color w:val="FFFFFF"/>
                <w:sz w:val="17"/>
              </w:rPr>
              <w:t>Attribute</w:t>
            </w:r>
          </w:p>
        </w:tc>
        <w:tc>
          <w:tcPr>
            <w:tcW w:type="dxa" w:w="6480"/>
            <w:vAlign w:val="center"/>
            <w:shd w:fill="1F4E78"/>
          </w:tcPr>
          <w:p>
            <w:r/>
            <w:r>
              <w:rPr>
                <w:b/>
                <w:color w:val="FFFFFF"/>
                <w:sz w:val="17"/>
              </w:rPr>
              <w:t>Reference requirement</w:t>
            </w:r>
          </w:p>
        </w:tc>
      </w:tr>
      <w:tr>
        <w:tc>
          <w:tcPr>
            <w:tcW w:type="dxa" w:w="3168"/>
            <w:vAlign w:val="center"/>
          </w:tcPr>
          <w:p>
            <w:r/>
            <w:r>
              <w:rPr>
                <w:b w:val="0"/>
                <w:sz w:val="17"/>
              </w:rPr>
              <w:t>Rack format</w:t>
            </w:r>
          </w:p>
        </w:tc>
        <w:tc>
          <w:tcPr>
            <w:tcW w:type="dxa" w:w="6480"/>
            <w:vAlign w:val="center"/>
          </w:tcPr>
          <w:p>
            <w:r/>
            <w:r>
              <w:rPr>
                <w:b w:val="0"/>
                <w:sz w:val="17"/>
              </w:rPr>
              <w:t>EIA-310 compatible 19-inch, 48U preferred</w:t>
            </w:r>
          </w:p>
        </w:tc>
      </w:tr>
      <w:tr>
        <w:tc>
          <w:tcPr>
            <w:tcW w:type="dxa" w:w="3168"/>
            <w:vAlign w:val="center"/>
            <w:shd w:fill="F5F8FA"/>
          </w:tcPr>
          <w:p>
            <w:r/>
            <w:r>
              <w:rPr>
                <w:b w:val="0"/>
                <w:sz w:val="17"/>
              </w:rPr>
              <w:t>External width</w:t>
            </w:r>
          </w:p>
        </w:tc>
        <w:tc>
          <w:tcPr>
            <w:tcW w:type="dxa" w:w="6480"/>
            <w:vAlign w:val="center"/>
            <w:shd w:fill="F5F8FA"/>
          </w:tcPr>
          <w:p>
            <w:r/>
            <w:r>
              <w:rPr>
                <w:b w:val="0"/>
                <w:sz w:val="17"/>
              </w:rPr>
              <w:t>600-800 mm</w:t>
            </w:r>
          </w:p>
        </w:tc>
      </w:tr>
      <w:tr>
        <w:tc>
          <w:tcPr>
            <w:tcW w:type="dxa" w:w="3168"/>
            <w:vAlign w:val="center"/>
          </w:tcPr>
          <w:p>
            <w:r/>
            <w:r>
              <w:rPr>
                <w:b w:val="0"/>
                <w:sz w:val="17"/>
              </w:rPr>
              <w:t>External depth</w:t>
            </w:r>
          </w:p>
        </w:tc>
        <w:tc>
          <w:tcPr>
            <w:tcW w:type="dxa" w:w="6480"/>
            <w:vAlign w:val="center"/>
          </w:tcPr>
          <w:p>
            <w:r/>
            <w:r>
              <w:rPr>
                <w:b w:val="0"/>
                <w:sz w:val="17"/>
              </w:rPr>
              <w:t>1,200-1,400 mm</w:t>
            </w:r>
          </w:p>
        </w:tc>
      </w:tr>
      <w:tr>
        <w:tc>
          <w:tcPr>
            <w:tcW w:type="dxa" w:w="3168"/>
            <w:vAlign w:val="center"/>
            <w:shd w:fill="F5F8FA"/>
          </w:tcPr>
          <w:p>
            <w:r/>
            <w:r>
              <w:rPr>
                <w:b w:val="0"/>
                <w:sz w:val="17"/>
              </w:rPr>
              <w:t>Static load rating</w:t>
            </w:r>
          </w:p>
        </w:tc>
        <w:tc>
          <w:tcPr>
            <w:tcW w:type="dxa" w:w="6480"/>
            <w:vAlign w:val="center"/>
            <w:shd w:fill="F5F8FA"/>
          </w:tcPr>
          <w:p>
            <w:r/>
            <w:r>
              <w:rPr>
                <w:b w:val="0"/>
                <w:sz w:val="17"/>
              </w:rPr>
              <w:t>At least 2,000 kg</w:t>
            </w:r>
          </w:p>
        </w:tc>
      </w:tr>
      <w:tr>
        <w:tc>
          <w:tcPr>
            <w:tcW w:type="dxa" w:w="3168"/>
            <w:vAlign w:val="center"/>
          </w:tcPr>
          <w:p>
            <w:r/>
            <w:r>
              <w:rPr>
                <w:b w:val="0"/>
                <w:sz w:val="17"/>
              </w:rPr>
              <w:t>Dynamic load rating</w:t>
            </w:r>
          </w:p>
        </w:tc>
        <w:tc>
          <w:tcPr>
            <w:tcW w:type="dxa" w:w="6480"/>
            <w:vAlign w:val="center"/>
          </w:tcPr>
          <w:p>
            <w:r/>
            <w:r>
              <w:rPr>
                <w:b w:val="0"/>
                <w:sz w:val="17"/>
              </w:rPr>
              <w:t>At least 1,500 kg</w:t>
            </w:r>
          </w:p>
        </w:tc>
      </w:tr>
      <w:tr>
        <w:tc>
          <w:tcPr>
            <w:tcW w:type="dxa" w:w="3168"/>
            <w:vAlign w:val="center"/>
            <w:shd w:fill="F5F8FA"/>
          </w:tcPr>
          <w:p>
            <w:r/>
            <w:r>
              <w:rPr>
                <w:b w:val="0"/>
                <w:sz w:val="17"/>
              </w:rPr>
              <w:t>Doors</w:t>
            </w:r>
          </w:p>
        </w:tc>
        <w:tc>
          <w:tcPr>
            <w:tcW w:type="dxa" w:w="6480"/>
            <w:vAlign w:val="center"/>
            <w:shd w:fill="F5F8FA"/>
          </w:tcPr>
          <w:p>
            <w:r/>
            <w:r>
              <w:rPr>
                <w:b w:val="0"/>
                <w:sz w:val="17"/>
              </w:rPr>
              <w:t>At least 80% perforated; split rear door or active rear-door heat exchanger</w:t>
            </w:r>
          </w:p>
        </w:tc>
      </w:tr>
      <w:tr>
        <w:tc>
          <w:tcPr>
            <w:tcW w:type="dxa" w:w="3168"/>
            <w:vAlign w:val="center"/>
          </w:tcPr>
          <w:p>
            <w:r/>
            <w:r>
              <w:rPr>
                <w:b w:val="0"/>
                <w:sz w:val="17"/>
              </w:rPr>
              <w:t>Grounding</w:t>
            </w:r>
          </w:p>
        </w:tc>
        <w:tc>
          <w:tcPr>
            <w:tcW w:type="dxa" w:w="6480"/>
            <w:vAlign w:val="center"/>
          </w:tcPr>
          <w:p>
            <w:r/>
            <w:r>
              <w:rPr>
                <w:b w:val="0"/>
                <w:sz w:val="17"/>
              </w:rPr>
              <w:t>Protective-earth bonding bus and equipment bonding straps</w:t>
            </w:r>
          </w:p>
        </w:tc>
      </w:tr>
      <w:tr>
        <w:tc>
          <w:tcPr>
            <w:tcW w:type="dxa" w:w="3168"/>
            <w:vAlign w:val="center"/>
            <w:shd w:fill="F5F8FA"/>
          </w:tcPr>
          <w:p>
            <w:r/>
            <w:r>
              <w:rPr>
                <w:b w:val="0"/>
                <w:sz w:val="17"/>
              </w:rPr>
              <w:t>Cable entry</w:t>
            </w:r>
          </w:p>
        </w:tc>
        <w:tc>
          <w:tcPr>
            <w:tcW w:type="dxa" w:w="6480"/>
            <w:vAlign w:val="center"/>
            <w:shd w:fill="F5F8FA"/>
          </w:tcPr>
          <w:p>
            <w:r/>
            <w:r>
              <w:rPr>
                <w:b w:val="0"/>
                <w:sz w:val="17"/>
              </w:rPr>
              <w:t>Top and bottom; isolated power, data and liquid paths</w:t>
            </w:r>
          </w:p>
        </w:tc>
      </w:tr>
      <w:tr>
        <w:tc>
          <w:tcPr>
            <w:tcW w:type="dxa" w:w="3168"/>
            <w:vAlign w:val="center"/>
          </w:tcPr>
          <w:p>
            <w:r/>
            <w:r>
              <w:rPr>
                <w:b w:val="0"/>
                <w:sz w:val="17"/>
              </w:rPr>
              <w:t>Service access</w:t>
            </w:r>
          </w:p>
        </w:tc>
        <w:tc>
          <w:tcPr>
            <w:tcW w:type="dxa" w:w="6480"/>
            <w:vAlign w:val="center"/>
          </w:tcPr>
          <w:p>
            <w:r/>
            <w:r>
              <w:rPr>
                <w:b w:val="0"/>
                <w:sz w:val="17"/>
              </w:rPr>
              <w:t>Front SSD service; rear power, network and cooling service</w:t>
            </w:r>
          </w:p>
        </w:tc>
      </w:tr>
      <w:tr>
        <w:tc>
          <w:tcPr>
            <w:tcW w:type="dxa" w:w="3168"/>
            <w:vAlign w:val="center"/>
            <w:shd w:fill="F5F8FA"/>
          </w:tcPr>
          <w:p>
            <w:r/>
            <w:r>
              <w:rPr>
                <w:b w:val="0"/>
                <w:sz w:val="17"/>
              </w:rPr>
              <w:t>Security</w:t>
            </w:r>
          </w:p>
        </w:tc>
        <w:tc>
          <w:tcPr>
            <w:tcW w:type="dxa" w:w="6480"/>
            <w:vAlign w:val="center"/>
            <w:shd w:fill="F5F8FA"/>
          </w:tcPr>
          <w:p>
            <w:r/>
            <w:r>
              <w:rPr>
                <w:b w:val="0"/>
                <w:sz w:val="17"/>
              </w:rPr>
              <w:t>Lockable doors and side panels; door-open sensing</w:t>
            </w:r>
          </w:p>
        </w:tc>
      </w:tr>
      <w:tr>
        <w:tc>
          <w:tcPr>
            <w:tcW w:type="dxa" w:w="3168"/>
            <w:vAlign w:val="center"/>
          </w:tcPr>
          <w:p>
            <w:r/>
            <w:r>
              <w:rPr>
                <w:b w:val="0"/>
                <w:sz w:val="17"/>
              </w:rPr>
              <w:t>Seismic option</w:t>
            </w:r>
          </w:p>
        </w:tc>
        <w:tc>
          <w:tcPr>
            <w:tcW w:type="dxa" w:w="6480"/>
            <w:vAlign w:val="center"/>
          </w:tcPr>
          <w:p>
            <w:r/>
            <w:r>
              <w:rPr>
                <w:b w:val="0"/>
                <w:sz w:val="17"/>
              </w:rPr>
              <w:t>Anchoring kit and site-specific qualification</w:t>
            </w:r>
          </w:p>
        </w:tc>
      </w:tr>
      <w:tr>
        <w:tc>
          <w:tcPr>
            <w:tcW w:type="dxa" w:w="3168"/>
            <w:vAlign w:val="center"/>
            <w:shd w:fill="F5F8FA"/>
          </w:tcPr>
          <w:p>
            <w:r/>
            <w:r>
              <w:rPr>
                <w:b w:val="0"/>
                <w:sz w:val="17"/>
              </w:rPr>
              <w:t>Target populated mass</w:t>
            </w:r>
          </w:p>
        </w:tc>
        <w:tc>
          <w:tcPr>
            <w:tcW w:type="dxa" w:w="6480"/>
            <w:vAlign w:val="center"/>
            <w:shd w:fill="F5F8FA"/>
          </w:tcPr>
          <w:p>
            <w:r/>
            <w:r>
              <w:rPr>
                <w:b w:val="0"/>
                <w:sz w:val="17"/>
              </w:rPr>
              <w:t>Approximately 1,200-2,000 kg, configuration dependent</w:t>
            </w:r>
          </w:p>
        </w:tc>
      </w:tr>
    </w:tbl>
    <w:p>
      <w:pPr>
        <w:spacing w:after="80" w:line="247" w:lineRule="auto"/>
      </w:pPr>
    </w:p>
    <w:p>
      <w:pPr>
        <w:pStyle w:val="Heading2"/>
        <w:keepNext/>
        <w:spacing w:before="200" w:after="80"/>
      </w:pPr>
      <w:r>
        <w:t>10.3 Reference Rack Zoning</w:t>
      </w:r>
    </w:p>
    <w:tbl>
      <w:tblPr>
        <w:tblStyle w:val="TableGrid"/>
        <w:tblW w:type="auto" w:w="0"/>
        <w:jc w:val="center"/>
        <w:tblLook w:firstColumn="1" w:firstRow="1" w:lastColumn="0" w:lastRow="0" w:noHBand="0" w:noVBand="1" w:val="04A0"/>
      </w:tblPr>
      <w:tblGrid>
        <w:gridCol w:w="3389"/>
        <w:gridCol w:w="3389"/>
        <w:gridCol w:w="3389"/>
      </w:tblGrid>
      <w:tr>
        <w:tc>
          <w:tcPr>
            <w:tcW w:type="dxa" w:w="1872"/>
            <w:vAlign w:val="center"/>
            <w:shd w:fill="1F4E78"/>
          </w:tcPr>
          <w:p>
            <w:r/>
            <w:r>
              <w:rPr>
                <w:b/>
                <w:color w:val="FFFFFF"/>
                <w:sz w:val="17"/>
              </w:rPr>
              <w:t>Rack zone</w:t>
            </w:r>
          </w:p>
        </w:tc>
        <w:tc>
          <w:tcPr>
            <w:tcW w:type="dxa" w:w="2880"/>
            <w:vAlign w:val="center"/>
            <w:shd w:fill="1F4E78"/>
          </w:tcPr>
          <w:p>
            <w:r/>
            <w:r>
              <w:rPr>
                <w:b/>
                <w:color w:val="FFFFFF"/>
                <w:sz w:val="17"/>
              </w:rPr>
              <w:t>Indicative placement</w:t>
            </w:r>
          </w:p>
        </w:tc>
        <w:tc>
          <w:tcPr>
            <w:tcW w:type="dxa" w:w="4896"/>
            <w:vAlign w:val="center"/>
            <w:shd w:fill="1F4E78"/>
          </w:tcPr>
          <w:p>
            <w:r/>
            <w:r>
              <w:rPr>
                <w:b/>
                <w:color w:val="FFFFFF"/>
                <w:sz w:val="17"/>
              </w:rPr>
              <w:t>Purpose</w:t>
            </w:r>
          </w:p>
        </w:tc>
      </w:tr>
      <w:tr>
        <w:tc>
          <w:tcPr>
            <w:tcW w:type="dxa" w:w="1872"/>
            <w:vAlign w:val="center"/>
          </w:tcPr>
          <w:p>
            <w:r/>
            <w:r>
              <w:rPr>
                <w:b w:val="0"/>
                <w:sz w:val="17"/>
              </w:rPr>
              <w:t>U48-U43</w:t>
            </w:r>
          </w:p>
        </w:tc>
        <w:tc>
          <w:tcPr>
            <w:tcW w:type="dxa" w:w="2880"/>
            <w:vAlign w:val="center"/>
          </w:tcPr>
          <w:p>
            <w:r/>
            <w:r>
              <w:rPr>
                <w:b w:val="0"/>
                <w:sz w:val="17"/>
              </w:rPr>
              <w:t>Dual Spectrum-X switches, management switches, optical distribution</w:t>
            </w:r>
          </w:p>
        </w:tc>
        <w:tc>
          <w:tcPr>
            <w:tcW w:type="dxa" w:w="4896"/>
            <w:vAlign w:val="center"/>
          </w:tcPr>
          <w:p>
            <w:r/>
            <w:r>
              <w:rPr>
                <w:b w:val="0"/>
                <w:sz w:val="17"/>
              </w:rPr>
              <w:t>Shortest network cable paths and top-of-rack serviceability</w:t>
            </w:r>
          </w:p>
        </w:tc>
      </w:tr>
      <w:tr>
        <w:tc>
          <w:tcPr>
            <w:tcW w:type="dxa" w:w="1872"/>
            <w:vAlign w:val="center"/>
            <w:shd w:fill="F5F8FA"/>
          </w:tcPr>
          <w:p>
            <w:r/>
            <w:r>
              <w:rPr>
                <w:b w:val="0"/>
                <w:sz w:val="17"/>
              </w:rPr>
              <w:t>U42-U39</w:t>
            </w:r>
          </w:p>
        </w:tc>
        <w:tc>
          <w:tcPr>
            <w:tcW w:type="dxa" w:w="2880"/>
            <w:vAlign w:val="center"/>
            <w:shd w:fill="F5F8FA"/>
          </w:tcPr>
          <w:p>
            <w:r/>
            <w:r>
              <w:rPr>
                <w:b w:val="0"/>
                <w:sz w:val="17"/>
              </w:rPr>
              <w:t>Two cloud gateways and three control/metadata nodes</w:t>
            </w:r>
          </w:p>
        </w:tc>
        <w:tc>
          <w:tcPr>
            <w:tcW w:type="dxa" w:w="4896"/>
            <w:vAlign w:val="center"/>
            <w:shd w:fill="F5F8FA"/>
          </w:tcPr>
          <w:p>
            <w:r/>
            <w:r>
              <w:rPr>
                <w:b w:val="0"/>
                <w:sz w:val="17"/>
              </w:rPr>
              <w:t>Quorum, policy, orchestration and secure cloud transfer</w:t>
            </w:r>
          </w:p>
        </w:tc>
      </w:tr>
      <w:tr>
        <w:tc>
          <w:tcPr>
            <w:tcW w:type="dxa" w:w="1872"/>
            <w:vAlign w:val="center"/>
          </w:tcPr>
          <w:p>
            <w:r/>
            <w:r>
              <w:rPr>
                <w:b w:val="0"/>
                <w:sz w:val="17"/>
              </w:rPr>
              <w:t>U38-U16</w:t>
            </w:r>
          </w:p>
        </w:tc>
        <w:tc>
          <w:tcPr>
            <w:tcW w:type="dxa" w:w="2880"/>
            <w:vAlign w:val="center"/>
          </w:tcPr>
          <w:p>
            <w:r/>
            <w:r>
              <w:rPr>
                <w:b w:val="0"/>
                <w:sz w:val="17"/>
              </w:rPr>
              <w:t>Performance storage nodes</w:t>
            </w:r>
          </w:p>
        </w:tc>
        <w:tc>
          <w:tcPr>
            <w:tcW w:type="dxa" w:w="4896"/>
            <w:vAlign w:val="center"/>
          </w:tcPr>
          <w:p>
            <w:r/>
            <w:r>
              <w:rPr>
                <w:b w:val="0"/>
                <w:sz w:val="17"/>
              </w:rPr>
              <w:t>Low-latency TLC NVMe and high-bandwidth data path</w:t>
            </w:r>
          </w:p>
        </w:tc>
      </w:tr>
      <w:tr>
        <w:tc>
          <w:tcPr>
            <w:tcW w:type="dxa" w:w="1872"/>
            <w:vAlign w:val="center"/>
            <w:shd w:fill="F5F8FA"/>
          </w:tcPr>
          <w:p>
            <w:r/>
            <w:r>
              <w:rPr>
                <w:b w:val="0"/>
                <w:sz w:val="17"/>
              </w:rPr>
              <w:t>U15-U7</w:t>
            </w:r>
          </w:p>
        </w:tc>
        <w:tc>
          <w:tcPr>
            <w:tcW w:type="dxa" w:w="2880"/>
            <w:vAlign w:val="center"/>
            <w:shd w:fill="F5F8FA"/>
          </w:tcPr>
          <w:p>
            <w:r/>
            <w:r>
              <w:rPr>
                <w:b w:val="0"/>
                <w:sz w:val="17"/>
              </w:rPr>
              <w:t>Meshed flash/capacity shelves</w:t>
            </w:r>
          </w:p>
        </w:tc>
        <w:tc>
          <w:tcPr>
            <w:tcW w:type="dxa" w:w="4896"/>
            <w:vAlign w:val="center"/>
            <w:shd w:fill="F5F8FA"/>
          </w:tcPr>
          <w:p>
            <w:r/>
            <w:r>
              <w:rPr>
                <w:b w:val="0"/>
                <w:sz w:val="17"/>
              </w:rPr>
              <w:t>Dense NVMe capacity and east-west flash fabric</w:t>
            </w:r>
          </w:p>
        </w:tc>
      </w:tr>
      <w:tr>
        <w:tc>
          <w:tcPr>
            <w:tcW w:type="dxa" w:w="1872"/>
            <w:vAlign w:val="center"/>
          </w:tcPr>
          <w:p>
            <w:r/>
            <w:r>
              <w:rPr>
                <w:b w:val="0"/>
                <w:sz w:val="17"/>
              </w:rPr>
              <w:t>U6-U1</w:t>
            </w:r>
          </w:p>
        </w:tc>
        <w:tc>
          <w:tcPr>
            <w:tcW w:type="dxa" w:w="2880"/>
            <w:vAlign w:val="center"/>
          </w:tcPr>
          <w:p>
            <w:r/>
            <w:r>
              <w:rPr>
                <w:b w:val="0"/>
                <w:sz w:val="17"/>
              </w:rPr>
              <w:t>PDUs, cooling manifold/CDU interface, sensors and service area</w:t>
            </w:r>
          </w:p>
        </w:tc>
        <w:tc>
          <w:tcPr>
            <w:tcW w:type="dxa" w:w="4896"/>
            <w:vAlign w:val="center"/>
          </w:tcPr>
          <w:p>
            <w:r/>
            <w:r>
              <w:rPr>
                <w:b w:val="0"/>
                <w:sz w:val="17"/>
              </w:rPr>
              <w:t>Power, coolant distribution and low-center-of-gravity equipment</w:t>
            </w:r>
          </w:p>
        </w:tc>
      </w:tr>
    </w:tbl>
    <w:p>
      <w:pPr>
        <w:spacing w:after="80" w:line="247" w:lineRule="auto"/>
      </w:pPr>
    </w:p>
    <w:p>
      <w:pPr>
        <w:pStyle w:val="Heading1"/>
        <w:keepNext/>
        <w:spacing w:before="200" w:after="80"/>
      </w:pPr>
      <w:r>
        <w:t>11. Internal SSD Placement and Meshed Flash Architecture</w:t>
      </w:r>
    </w:p>
    <w:p>
      <w:pPr>
        <w:pStyle w:val="Heading2"/>
        <w:keepNext/>
        <w:spacing w:before="200" w:after="80"/>
      </w:pPr>
      <w:r>
        <w:t>11.1 Performance Storage Node Layout</w:t>
      </w:r>
    </w:p>
    <w:p>
      <w:pPr>
        <w:spacing w:after="80" w:line="247" w:lineRule="auto"/>
      </w:pPr>
      <w:r>
        <w:t>Each 1U or 2U performance node should contain 24 front-access E3.S, E3.L or qualified U.2/U.3 enterprise NVMe SSDs arranged as four independent six-drive banks. The banks must map to separate PCIe roots or switches so a single root-complex failure does not remove all media or both network paths.</w:t>
      </w:r>
    </w:p>
    <w:tbl>
      <w:tblPr>
        <w:tblStyle w:val="TableGrid"/>
        <w:tblW w:type="auto" w:w="0"/>
        <w:jc w:val="center"/>
        <w:tblLook w:firstColumn="1" w:firstRow="1" w:lastColumn="0" w:lastRow="0" w:noHBand="0" w:noVBand="1" w:val="04A0"/>
      </w:tblPr>
      <w:tblGrid>
        <w:gridCol w:w="5083"/>
        <w:gridCol w:w="5083"/>
      </w:tblGrid>
      <w:tr>
        <w:tc>
          <w:tcPr>
            <w:tcW w:type="dxa" w:w="2880"/>
            <w:vAlign w:val="center"/>
            <w:shd w:fill="1F4E78"/>
          </w:tcPr>
          <w:p>
            <w:r/>
            <w:r>
              <w:rPr>
                <w:b/>
                <w:color w:val="FFFFFF"/>
                <w:sz w:val="17"/>
              </w:rPr>
              <w:t>Component</w:t>
            </w:r>
          </w:p>
        </w:tc>
        <w:tc>
          <w:tcPr>
            <w:tcW w:type="dxa" w:w="6768"/>
            <w:vAlign w:val="center"/>
            <w:shd w:fill="1F4E78"/>
          </w:tcPr>
          <w:p>
            <w:r/>
            <w:r>
              <w:rPr>
                <w:b/>
                <w:color w:val="FFFFFF"/>
                <w:sz w:val="17"/>
              </w:rPr>
              <w:t>Per-node requirement</w:t>
            </w:r>
          </w:p>
        </w:tc>
      </w:tr>
      <w:tr>
        <w:tc>
          <w:tcPr>
            <w:tcW w:type="dxa" w:w="2880"/>
            <w:vAlign w:val="center"/>
          </w:tcPr>
          <w:p>
            <w:r/>
            <w:r>
              <w:rPr>
                <w:b w:val="0"/>
                <w:sz w:val="17"/>
              </w:rPr>
              <w:t>Processors</w:t>
            </w:r>
          </w:p>
        </w:tc>
        <w:tc>
          <w:tcPr>
            <w:tcW w:type="dxa" w:w="6768"/>
            <w:vAlign w:val="center"/>
          </w:tcPr>
          <w:p>
            <w:r/>
            <w:r>
              <w:rPr>
                <w:b w:val="0"/>
                <w:sz w:val="17"/>
              </w:rPr>
              <w:t>Dual server-class CPUs; 64-128 physical cores total</w:t>
            </w:r>
          </w:p>
        </w:tc>
      </w:tr>
      <w:tr>
        <w:tc>
          <w:tcPr>
            <w:tcW w:type="dxa" w:w="2880"/>
            <w:vAlign w:val="center"/>
            <w:shd w:fill="F5F8FA"/>
          </w:tcPr>
          <w:p>
            <w:r/>
            <w:r>
              <w:rPr>
                <w:b w:val="0"/>
                <w:sz w:val="17"/>
              </w:rPr>
              <w:t>Memory</w:t>
            </w:r>
          </w:p>
        </w:tc>
        <w:tc>
          <w:tcPr>
            <w:tcW w:type="dxa" w:w="6768"/>
            <w:vAlign w:val="center"/>
            <w:shd w:fill="F5F8FA"/>
          </w:tcPr>
          <w:p>
            <w:r/>
            <w:r>
              <w:rPr>
                <w:b w:val="0"/>
                <w:sz w:val="17"/>
              </w:rPr>
              <w:t>1-2 TB ECC DDR5</w:t>
            </w:r>
          </w:p>
        </w:tc>
      </w:tr>
      <w:tr>
        <w:tc>
          <w:tcPr>
            <w:tcW w:type="dxa" w:w="2880"/>
            <w:vAlign w:val="center"/>
          </w:tcPr>
          <w:p>
            <w:r/>
            <w:r>
              <w:rPr>
                <w:b w:val="0"/>
                <w:sz w:val="17"/>
              </w:rPr>
              <w:t>NVMe media</w:t>
            </w:r>
          </w:p>
        </w:tc>
        <w:tc>
          <w:tcPr>
            <w:tcW w:type="dxa" w:w="6768"/>
            <w:vAlign w:val="center"/>
          </w:tcPr>
          <w:p>
            <w:r/>
            <w:r>
              <w:rPr>
                <w:b w:val="0"/>
                <w:sz w:val="17"/>
              </w:rPr>
              <w:t>24 enterprise drives, front-access and hot-swappable</w:t>
            </w:r>
          </w:p>
        </w:tc>
      </w:tr>
      <w:tr>
        <w:tc>
          <w:tcPr>
            <w:tcW w:type="dxa" w:w="2880"/>
            <w:vAlign w:val="center"/>
            <w:shd w:fill="F5F8FA"/>
          </w:tcPr>
          <w:p>
            <w:r/>
            <w:r>
              <w:rPr>
                <w:b w:val="0"/>
                <w:sz w:val="17"/>
              </w:rPr>
              <w:t>Flash banks</w:t>
            </w:r>
          </w:p>
        </w:tc>
        <w:tc>
          <w:tcPr>
            <w:tcW w:type="dxa" w:w="6768"/>
            <w:vAlign w:val="center"/>
            <w:shd w:fill="F5F8FA"/>
          </w:tcPr>
          <w:p>
            <w:r/>
            <w:r>
              <w:rPr>
                <w:b w:val="0"/>
                <w:sz w:val="17"/>
              </w:rPr>
              <w:t>4 banks x 6 SSDs</w:t>
            </w:r>
          </w:p>
        </w:tc>
      </w:tr>
      <w:tr>
        <w:tc>
          <w:tcPr>
            <w:tcW w:type="dxa" w:w="2880"/>
            <w:vAlign w:val="center"/>
          </w:tcPr>
          <w:p>
            <w:r/>
            <w:r>
              <w:rPr>
                <w:b w:val="0"/>
                <w:sz w:val="17"/>
              </w:rPr>
              <w:t>Storage network</w:t>
            </w:r>
          </w:p>
        </w:tc>
        <w:tc>
          <w:tcPr>
            <w:tcW w:type="dxa" w:w="6768"/>
            <w:vAlign w:val="center"/>
          </w:tcPr>
          <w:p>
            <w:r/>
            <w:r>
              <w:rPr>
                <w:b w:val="0"/>
                <w:sz w:val="17"/>
              </w:rPr>
              <w:t>4 x 800 GbE for maximum-performance model; 2 x 400/800 GbE for standard model</w:t>
            </w:r>
          </w:p>
        </w:tc>
      </w:tr>
      <w:tr>
        <w:tc>
          <w:tcPr>
            <w:tcW w:type="dxa" w:w="2880"/>
            <w:vAlign w:val="center"/>
            <w:shd w:fill="F5F8FA"/>
          </w:tcPr>
          <w:p>
            <w:r/>
            <w:r>
              <w:rPr>
                <w:b w:val="0"/>
                <w:sz w:val="17"/>
              </w:rPr>
              <w:t>Boot</w:t>
            </w:r>
          </w:p>
        </w:tc>
        <w:tc>
          <w:tcPr>
            <w:tcW w:type="dxa" w:w="6768"/>
            <w:vAlign w:val="center"/>
            <w:shd w:fill="F5F8FA"/>
          </w:tcPr>
          <w:p>
            <w:r/>
            <w:r>
              <w:rPr>
                <w:b w:val="0"/>
                <w:sz w:val="17"/>
              </w:rPr>
              <w:t>2 mirrored enterprise M.2 NVMe SSDs</w:t>
            </w:r>
          </w:p>
        </w:tc>
      </w:tr>
      <w:tr>
        <w:tc>
          <w:tcPr>
            <w:tcW w:type="dxa" w:w="2880"/>
            <w:vAlign w:val="center"/>
          </w:tcPr>
          <w:p>
            <w:r/>
            <w:r>
              <w:rPr>
                <w:b w:val="0"/>
                <w:sz w:val="17"/>
              </w:rPr>
              <w:t>Security</w:t>
            </w:r>
          </w:p>
        </w:tc>
        <w:tc>
          <w:tcPr>
            <w:tcW w:type="dxa" w:w="6768"/>
            <w:vAlign w:val="center"/>
          </w:tcPr>
          <w:p>
            <w:r/>
            <w:r>
              <w:rPr>
                <w:b w:val="0"/>
                <w:sz w:val="17"/>
              </w:rPr>
              <w:t>TPM 2.0, Secure Boot, signed firmware, hardware root of trust</w:t>
            </w:r>
          </w:p>
        </w:tc>
      </w:tr>
      <w:tr>
        <w:tc>
          <w:tcPr>
            <w:tcW w:type="dxa" w:w="2880"/>
            <w:vAlign w:val="center"/>
            <w:shd w:fill="F5F8FA"/>
          </w:tcPr>
          <w:p>
            <w:r/>
            <w:r>
              <w:rPr>
                <w:b w:val="0"/>
                <w:sz w:val="17"/>
              </w:rPr>
              <w:t>Cooling</w:t>
            </w:r>
          </w:p>
        </w:tc>
        <w:tc>
          <w:tcPr>
            <w:tcW w:type="dxa" w:w="6768"/>
            <w:vAlign w:val="center"/>
            <w:shd w:fill="F5F8FA"/>
          </w:tcPr>
          <w:p>
            <w:r/>
            <w:r>
              <w:rPr>
                <w:b w:val="0"/>
                <w:sz w:val="17"/>
              </w:rPr>
              <w:t>High-static-pressure front-to-rear airflow plus direct liquid cooling for high-power silicon</w:t>
            </w:r>
          </w:p>
        </w:tc>
      </w:tr>
      <w:tr>
        <w:tc>
          <w:tcPr>
            <w:tcW w:type="dxa" w:w="2880"/>
            <w:vAlign w:val="center"/>
          </w:tcPr>
          <w:p>
            <w:r/>
            <w:r>
              <w:rPr>
                <w:b w:val="0"/>
                <w:sz w:val="17"/>
              </w:rPr>
              <w:t>Serviceability</w:t>
            </w:r>
          </w:p>
        </w:tc>
        <w:tc>
          <w:tcPr>
            <w:tcW w:type="dxa" w:w="6768"/>
            <w:vAlign w:val="center"/>
          </w:tcPr>
          <w:p>
            <w:r/>
            <w:r>
              <w:rPr>
                <w:b w:val="0"/>
                <w:sz w:val="17"/>
              </w:rPr>
              <w:t>Independent replacement of drive, fan, PSU and NIC modules</w:t>
            </w:r>
          </w:p>
        </w:tc>
      </w:tr>
    </w:tbl>
    <w:p>
      <w:pPr>
        <w:spacing w:after="80" w:line="247" w:lineRule="auto"/>
      </w:pPr>
    </w:p>
    <w:p>
      <w:pPr>
        <w:spacing w:before="80" w:after="80" w:line="247" w:lineRule="auto"/>
        <w:ind w:left="504" w:right="504"/>
        <w:shd w:fill="F2F4F7"/>
      </w:pPr>
      <w:r>
        <w:rPr>
          <w:rFonts w:ascii="Consolas" w:hAnsi="Consolas"/>
          <w:sz w:val="17"/>
        </w:rPr>
        <w:t>CPU / PCIe Root A                         CPU / PCIe Root B</w:t>
        <w:br/>
      </w:r>
      <w:r>
        <w:rPr>
          <w:rFonts w:ascii="Consolas" w:hAnsi="Consolas"/>
          <w:sz w:val="17"/>
        </w:rPr>
        <w:t xml:space="preserve">  ├─ Flash Bank A: 6 NVMe SSDs             ├─ Flash Bank C: 6 NVMe SSDs</w:t>
        <w:br/>
      </w:r>
      <w:r>
        <w:rPr>
          <w:rFonts w:ascii="Consolas" w:hAnsi="Consolas"/>
          <w:sz w:val="17"/>
        </w:rPr>
        <w:t xml:space="preserve">  ├─ Flash Bank B: 6 NVMe SSDs             ├─ Flash Bank D: 6 NVMe SSDs</w:t>
        <w:br/>
      </w:r>
      <w:r>
        <w:rPr>
          <w:rFonts w:ascii="Consolas" w:hAnsi="Consolas"/>
          <w:sz w:val="17"/>
        </w:rPr>
        <w:t xml:space="preserve">  ├─ 2 x 800 GbE interfaces                ├─ 2 x 800 GbE interfaces</w:t>
        <w:br/>
      </w:r>
      <w:r>
        <w:rPr>
          <w:rFonts w:ascii="Consolas" w:hAnsi="Consolas"/>
          <w:sz w:val="17"/>
        </w:rPr>
        <w:t xml:space="preserve">  └─ Independent I/O queues                └─ Independent I/O queues</w:t>
      </w:r>
    </w:p>
    <w:p>
      <w:pPr>
        <w:pStyle w:val="Heading2"/>
        <w:keepNext/>
        <w:spacing w:before="200" w:after="80"/>
      </w:pPr>
      <w:r>
        <w:t>11.2 SSD Physical Placement Rules</w:t>
      </w:r>
    </w:p>
    <w:p>
      <w:pPr>
        <w:pStyle w:val="ListBullet"/>
      </w:pPr>
      <w:r>
        <w:t>Place all hot-swap SSD bays at the front of each storage node for online replacement without disturbing network or liquid connections.</w:t>
      </w:r>
    </w:p>
    <w:p>
      <w:pPr>
        <w:pStyle w:val="ListBullet"/>
      </w:pPr>
      <w:r>
        <w:t>Group SSDs into four visually and electrically identifiable banks, with separate power domains, temperature telemetry and PCIe routing.</w:t>
      </w:r>
    </w:p>
    <w:p>
      <w:pPr>
        <w:pStyle w:val="ListBullet"/>
      </w:pPr>
      <w:r>
        <w:t>Provide dedicated airflow channels between drive banks and prevent bypass using sealed baffles.</w:t>
      </w:r>
    </w:p>
    <w:p>
      <w:pPr>
        <w:pStyle w:val="ListBullet"/>
      </w:pPr>
      <w:r>
        <w:t>Keep high-endurance metadata and write-log media physically separated from dense QLC capacity media.</w:t>
      </w:r>
    </w:p>
    <w:p>
      <w:pPr>
        <w:pStyle w:val="ListBullet"/>
      </w:pPr>
      <w:r>
        <w:t>Distribute parity and erasure-code stripes across drives, banks, root complexes, nodes and rack fault domains.</w:t>
      </w:r>
    </w:p>
    <w:p>
      <w:pPr>
        <w:pStyle w:val="ListBullet"/>
      </w:pPr>
      <w:r>
        <w:t>Place network adapters near their assigned PCIe root complex and use the shortest qualified trace path.</w:t>
      </w:r>
    </w:p>
    <w:p>
      <w:pPr>
        <w:pStyle w:val="ListBullet"/>
      </w:pPr>
      <w:r>
        <w:t>Maintain service loops and blind-mate connections without blocking fan replacement or coolant isolation.</w:t>
      </w:r>
    </w:p>
    <w:p>
      <w:pPr>
        <w:pStyle w:val="Heading2"/>
        <w:keepNext/>
        <w:spacing w:before="200" w:after="80"/>
      </w:pPr>
      <w:r>
        <w:t>11.3 Meshed NVMe Flash Layer</w:t>
      </w:r>
    </w:p>
    <w:p>
      <w:pPr>
        <w:spacing w:after="80" w:line="247" w:lineRule="auto"/>
      </w:pPr>
      <w:r>
        <w:t>The flash mesh is a logical, distributed flash fabric rather than a single physical sheet of memory. Every node contributes NVMe media, memory cache, queue-processing capacity and network paths. The storage software stripes and serves data concurrently across the rack, minimizing hop count and avoiding a centralized controller bottleneck.</w:t>
      </w:r>
    </w:p>
    <w:p>
      <w:pPr>
        <w:spacing w:before="80" w:after="80" w:line="247" w:lineRule="auto"/>
        <w:ind w:left="504" w:right="504"/>
        <w:shd w:fill="F2F4F7"/>
      </w:pPr>
      <w:r>
        <w:rPr>
          <w:rFonts w:ascii="Consolas" w:hAnsi="Consolas"/>
          <w:sz w:val="17"/>
        </w:rPr>
        <w:t>GPU / CPU Clients</w:t>
        <w:br/>
      </w:r>
      <w:r>
        <w:rPr>
          <w:rFonts w:ascii="Consolas" w:hAnsi="Consolas"/>
          <w:sz w:val="17"/>
        </w:rPr>
        <w:t xml:space="preserve">        │</w:t>
        <w:br/>
      </w:r>
      <w:r>
        <w:rPr>
          <w:rFonts w:ascii="Consolas" w:hAnsi="Consolas"/>
          <w:sz w:val="17"/>
        </w:rPr>
        <w:t>Dual Spectrum-X Fabrics</w:t>
        <w:br/>
      </w:r>
      <w:r>
        <w:rPr>
          <w:rFonts w:ascii="Consolas" w:hAnsi="Consolas"/>
          <w:sz w:val="17"/>
        </w:rPr>
        <w:t xml:space="preserve">        │</w:t>
        <w:br/>
      </w:r>
      <w:r>
        <w:rPr>
          <w:rFonts w:ascii="Consolas" w:hAnsi="Consolas"/>
          <w:sz w:val="17"/>
        </w:rPr>
        <w:t xml:space="preserve"> ┌──────┼─────────┬─────────┬─────────┐</w:t>
        <w:br/>
      </w:r>
      <w:r>
        <w:rPr>
          <w:rFonts w:ascii="Consolas" w:hAnsi="Consolas"/>
          <w:sz w:val="17"/>
        </w:rPr>
        <w:t>Node 1  Node 2    Node 3    Node 4   ... Node 32</w:t>
        <w:br/>
      </w:r>
      <w:r>
        <w:rPr>
          <w:rFonts w:ascii="Consolas" w:hAnsi="Consolas"/>
          <w:sz w:val="17"/>
        </w:rPr>
        <w:t xml:space="preserve"> A B C D A B C D  A B C D   A B C D      A B C D</w:t>
        <w:br/>
      </w:r>
      <w:r>
        <w:rPr>
          <w:rFonts w:ascii="Consolas" w:hAnsi="Consolas"/>
          <w:sz w:val="17"/>
        </w:rPr>
        <w:t xml:space="preserve">        Distributed NVMe Flash Mesh</w:t>
      </w:r>
    </w:p>
    <w:p>
      <w:pPr>
        <w:pStyle w:val="ListBullet"/>
      </w:pPr>
      <w:r>
        <w:t>Direct parallel paths from clients to the node holding each data stripe.</w:t>
      </w:r>
    </w:p>
    <w:p>
      <w:pPr>
        <w:pStyle w:val="ListBullet"/>
      </w:pPr>
      <w:r>
        <w:t>RDMA/RoCEv2 and zero-copy transfer to minimize CPU overhead.</w:t>
      </w:r>
    </w:p>
    <w:p>
      <w:pPr>
        <w:pStyle w:val="ListBullet"/>
      </w:pPr>
      <w:r>
        <w:t>NUMA-aware queue assignment and PCIe locality.</w:t>
      </w:r>
    </w:p>
    <w:p>
      <w:pPr>
        <w:pStyle w:val="ListBullet"/>
      </w:pPr>
      <w:r>
        <w:t>Distributed metadata sharding and in-memory metadata caching.</w:t>
      </w:r>
    </w:p>
    <w:p>
      <w:pPr>
        <w:pStyle w:val="ListBullet"/>
      </w:pPr>
      <w:r>
        <w:t>Automated prefetch, promotion and pinning for scheduled GPU jobs.</w:t>
      </w:r>
    </w:p>
    <w:p>
      <w:pPr>
        <w:pStyle w:val="ListBullet"/>
      </w:pPr>
      <w:r>
        <w:t>Asynchronous cloud tiering kept outside the critical read/write path.</w:t>
      </w:r>
    </w:p>
    <w:p>
      <w:pPr>
        <w:pStyle w:val="Heading2"/>
        <w:keepNext/>
        <w:spacing w:before="200" w:after="80"/>
      </w:pPr>
      <w:r>
        <w:t>11.4 3D Internal Design View</w:t>
      </w:r>
    </w:p>
    <w:p>
      <w:pPr>
        <w:spacing w:after="80" w:line="247" w:lineRule="auto"/>
        <w:jc w:val="center"/>
      </w:pPr>
      <w:r>
        <w:drawing>
          <wp:inline xmlns:a="http://schemas.openxmlformats.org/drawingml/2006/main" xmlns:pic="http://schemas.openxmlformats.org/drawingml/2006/picture">
            <wp:extent cx="6126480" cy="4594860"/>
            <wp:docPr id="1" name="Picture 1"/>
            <wp:cNvGraphicFramePr>
              <a:graphicFrameLocks noChangeAspect="1"/>
            </wp:cNvGraphicFramePr>
            <a:graphic>
              <a:graphicData uri="http://schemas.openxmlformats.org/drawingml/2006/picture">
                <pic:pic>
                  <pic:nvPicPr>
                    <pic:cNvPr id="0" name="48u_server_rack_technical_diagram.png"/>
                    <pic:cNvPicPr/>
                  </pic:nvPicPr>
                  <pic:blipFill>
                    <a:blip r:embed="rId11"/>
                    <a:stretch>
                      <a:fillRect/>
                    </a:stretch>
                  </pic:blipFill>
                  <pic:spPr>
                    <a:xfrm>
                      <a:off x="0" y="0"/>
                      <a:ext cx="6126480" cy="4594860"/>
                    </a:xfrm>
                    <a:prstGeom prst="rect"/>
                  </pic:spPr>
                </pic:pic>
              </a:graphicData>
            </a:graphic>
          </wp:inline>
        </w:drawing>
      </w:r>
    </w:p>
    <w:p>
      <w:pPr>
        <w:spacing w:after="80" w:line="247" w:lineRule="auto"/>
        <w:jc w:val="center"/>
      </w:pPr>
      <w:r>
        <w:rPr>
          <w:i/>
          <w:color w:val="5B6573"/>
          <w:sz w:val="16"/>
        </w:rPr>
        <w:t>Figure 1. Conceptual 3D cutaway of the 48U AI storage appliance showing network, control, performance NVMe, meshed flash, cooling and power zones.</w:t>
      </w:r>
    </w:p>
    <w:p>
      <w:pPr>
        <w:pStyle w:val="Heading1"/>
        <w:keepNext/>
        <w:spacing w:before="200" w:after="80"/>
      </w:pPr>
      <w:r>
        <w:t>12. Multi-Layer Cooling and Thermal Cabinet Design</w:t>
      </w:r>
    </w:p>
    <w:p>
      <w:pPr>
        <w:spacing w:after="80" w:line="247" w:lineRule="auto"/>
      </w:pPr>
      <w:r>
        <w:t>Cooling the external casing alone cannot efficiently remove heat from CPUs, NICs, PCIe switches, memory and SSDs. The recommended design uses three coordinated layers: direct-to-chip liquid cooling, a rear-door heat exchanger and a double-wall thermal cabinet jacket for residual heat stabilization.</w:t>
      </w:r>
    </w:p>
    <w:p>
      <w:pPr>
        <w:pStyle w:val="Heading2"/>
        <w:keepNext/>
        <w:spacing w:before="200" w:after="80"/>
      </w:pPr>
      <w:r>
        <w:t>12.1 Cooling Architecture</w:t>
      </w:r>
    </w:p>
    <w:tbl>
      <w:tblPr>
        <w:tblStyle w:val="TableGrid"/>
        <w:tblW w:type="auto" w:w="0"/>
        <w:jc w:val="center"/>
        <w:tblLook w:firstColumn="1" w:firstRow="1" w:lastColumn="0" w:lastRow="0" w:noHBand="0" w:noVBand="1" w:val="04A0"/>
      </w:tblPr>
      <w:tblGrid>
        <w:gridCol w:w="3389"/>
        <w:gridCol w:w="3389"/>
        <w:gridCol w:w="3389"/>
      </w:tblGrid>
      <w:tr>
        <w:tc>
          <w:tcPr>
            <w:tcW w:type="dxa" w:w="2160"/>
            <w:vAlign w:val="center"/>
            <w:shd w:fill="1F4E78"/>
          </w:tcPr>
          <w:p>
            <w:r/>
            <w:r>
              <w:rPr>
                <w:b/>
                <w:color w:val="FFFFFF"/>
                <w:sz w:val="17"/>
              </w:rPr>
              <w:t>Layer</w:t>
            </w:r>
          </w:p>
        </w:tc>
        <w:tc>
          <w:tcPr>
            <w:tcW w:type="dxa" w:w="3600"/>
            <w:vAlign w:val="center"/>
            <w:shd w:fill="1F4E78"/>
          </w:tcPr>
          <w:p>
            <w:r/>
            <w:r>
              <w:rPr>
                <w:b/>
                <w:color w:val="FFFFFF"/>
                <w:sz w:val="17"/>
              </w:rPr>
              <w:t>Coverage</w:t>
            </w:r>
          </w:p>
        </w:tc>
        <w:tc>
          <w:tcPr>
            <w:tcW w:type="dxa" w:w="3888"/>
            <w:vAlign w:val="center"/>
            <w:shd w:fill="1F4E78"/>
          </w:tcPr>
          <w:p>
            <w:r/>
            <w:r>
              <w:rPr>
                <w:b/>
                <w:color w:val="FFFFFF"/>
                <w:sz w:val="17"/>
              </w:rPr>
              <w:t>Role</w:t>
            </w:r>
          </w:p>
        </w:tc>
      </w:tr>
      <w:tr>
        <w:tc>
          <w:tcPr>
            <w:tcW w:type="dxa" w:w="2160"/>
            <w:vAlign w:val="center"/>
          </w:tcPr>
          <w:p>
            <w:r/>
            <w:r>
              <w:rPr>
                <w:b w:val="0"/>
                <w:sz w:val="17"/>
              </w:rPr>
              <w:t>Primary: direct-to-chip</w:t>
            </w:r>
          </w:p>
        </w:tc>
        <w:tc>
          <w:tcPr>
            <w:tcW w:type="dxa" w:w="3600"/>
            <w:vAlign w:val="center"/>
          </w:tcPr>
          <w:p>
            <w:r/>
            <w:r>
              <w:rPr>
                <w:b w:val="0"/>
                <w:sz w:val="17"/>
              </w:rPr>
              <w:t>CPUs, high-power NICs, PCIe switches and optional accelerators</w:t>
            </w:r>
          </w:p>
        </w:tc>
        <w:tc>
          <w:tcPr>
            <w:tcW w:type="dxa" w:w="3888"/>
            <w:vAlign w:val="center"/>
          </w:tcPr>
          <w:p>
            <w:r/>
            <w:r>
              <w:rPr>
                <w:b w:val="0"/>
                <w:sz w:val="17"/>
              </w:rPr>
              <w:t>Remove concentrated heat at the source</w:t>
            </w:r>
          </w:p>
        </w:tc>
      </w:tr>
      <w:tr>
        <w:tc>
          <w:tcPr>
            <w:tcW w:type="dxa" w:w="2160"/>
            <w:vAlign w:val="center"/>
            <w:shd w:fill="F5F8FA"/>
          </w:tcPr>
          <w:p>
            <w:r/>
            <w:r>
              <w:rPr>
                <w:b w:val="0"/>
                <w:sz w:val="17"/>
              </w:rPr>
              <w:t>Secondary: rear-door heat exchanger</w:t>
            </w:r>
          </w:p>
        </w:tc>
        <w:tc>
          <w:tcPr>
            <w:tcW w:type="dxa" w:w="3600"/>
            <w:vAlign w:val="center"/>
            <w:shd w:fill="F5F8FA"/>
          </w:tcPr>
          <w:p>
            <w:r/>
            <w:r>
              <w:rPr>
                <w:b w:val="0"/>
                <w:sz w:val="17"/>
              </w:rPr>
              <w:t>SSD, DIMM, VRM, motherboard and PSU exhaust</w:t>
            </w:r>
          </w:p>
        </w:tc>
        <w:tc>
          <w:tcPr>
            <w:tcW w:type="dxa" w:w="3888"/>
            <w:vAlign w:val="center"/>
            <w:shd w:fill="F5F8FA"/>
          </w:tcPr>
          <w:p>
            <w:r/>
            <w:r>
              <w:rPr>
                <w:b w:val="0"/>
                <w:sz w:val="17"/>
              </w:rPr>
              <w:t>Capture residual air-cooled heat before it enters the room</w:t>
            </w:r>
          </w:p>
        </w:tc>
      </w:tr>
      <w:tr>
        <w:tc>
          <w:tcPr>
            <w:tcW w:type="dxa" w:w="2160"/>
            <w:vAlign w:val="center"/>
          </w:tcPr>
          <w:p>
            <w:r/>
            <w:r>
              <w:rPr>
                <w:b w:val="0"/>
                <w:sz w:val="17"/>
              </w:rPr>
              <w:t>Tertiary: cabinet coolant jacket</w:t>
            </w:r>
          </w:p>
        </w:tc>
        <w:tc>
          <w:tcPr>
            <w:tcW w:type="dxa" w:w="3600"/>
            <w:vAlign w:val="center"/>
          </w:tcPr>
          <w:p>
            <w:r/>
            <w:r>
              <w:rPr>
                <w:b w:val="0"/>
                <w:sz w:val="17"/>
              </w:rPr>
              <w:t>Side panels, top panel and optional cooled SSD rails</w:t>
            </w:r>
          </w:p>
        </w:tc>
        <w:tc>
          <w:tcPr>
            <w:tcW w:type="dxa" w:w="3888"/>
            <w:vAlign w:val="center"/>
          </w:tcPr>
          <w:p>
            <w:r/>
            <w:r>
              <w:rPr>
                <w:b w:val="0"/>
                <w:sz w:val="17"/>
              </w:rPr>
              <w:t>Stabilize internal ambient temperature and absorb residual heat</w:t>
            </w:r>
          </w:p>
        </w:tc>
      </w:tr>
    </w:tbl>
    <w:p>
      <w:pPr>
        <w:spacing w:after="80" w:line="247" w:lineRule="auto"/>
      </w:pPr>
    </w:p>
    <w:p>
      <w:pPr>
        <w:spacing w:before="80" w:after="80" w:line="247" w:lineRule="auto"/>
        <w:ind w:left="504" w:right="504"/>
        <w:shd w:fill="F2F4F7"/>
      </w:pPr>
      <w:r>
        <w:rPr>
          <w:rFonts w:ascii="Consolas" w:hAnsi="Consolas"/>
          <w:sz w:val="17"/>
        </w:rPr>
        <w:t>Facility Water → Liquid-to-Liquid CDU → Cabinet Supply Manifold</w:t>
        <w:br/>
      </w:r>
      <w:r>
        <w:rPr>
          <w:rFonts w:ascii="Consolas" w:hAnsi="Consolas"/>
          <w:sz w:val="17"/>
        </w:rPr>
        <w:t xml:space="preserve">  ├─ Direct-to-Chip Branch (highest priority)</w:t>
        <w:br/>
      </w:r>
      <w:r>
        <w:rPr>
          <w:rFonts w:ascii="Consolas" w:hAnsi="Consolas"/>
          <w:sz w:val="17"/>
        </w:rPr>
        <w:t xml:space="preserve">  ├─ Rear-Door Heat Exchanger Branch</w:t>
        <w:br/>
      </w:r>
      <w:r>
        <w:rPr>
          <w:rFonts w:ascii="Consolas" w:hAnsi="Consolas"/>
          <w:sz w:val="17"/>
        </w:rPr>
        <w:t xml:space="preserve">  ├─ Left and Right Microchannel Panel Branches</w:t>
        <w:br/>
      </w:r>
      <w:r>
        <w:rPr>
          <w:rFonts w:ascii="Consolas" w:hAnsi="Consolas"/>
          <w:sz w:val="17"/>
        </w:rPr>
        <w:t xml:space="preserve">  ├─ Top-Panel Branch</w:t>
        <w:br/>
      </w:r>
      <w:r>
        <w:rPr>
          <w:rFonts w:ascii="Consolas" w:hAnsi="Consolas"/>
          <w:sz w:val="17"/>
        </w:rPr>
        <w:t xml:space="preserve">  └─ Optional Cooled SSD-Rail Branch</w:t>
        <w:br/>
      </w:r>
      <w:r>
        <w:rPr>
          <w:rFonts w:ascii="Consolas" w:hAnsi="Consolas"/>
          <w:sz w:val="17"/>
        </w:rPr>
        <w:t>Cabinet Return Manifold → CDU Heat Exchanger</w:t>
      </w:r>
    </w:p>
    <w:p>
      <w:pPr>
        <w:pStyle w:val="Heading2"/>
        <w:keepNext/>
        <w:spacing w:before="200" w:after="80"/>
      </w:pPr>
      <w:r>
        <w:t>12.2 Double-Wall Cabinet Jacket</w:t>
      </w:r>
    </w:p>
    <w:tbl>
      <w:tblPr>
        <w:tblStyle w:val="TableGrid"/>
        <w:tblW w:type="auto" w:w="0"/>
        <w:jc w:val="center"/>
        <w:tblLook w:firstColumn="1" w:firstRow="1" w:lastColumn="0" w:lastRow="0" w:noHBand="0" w:noVBand="1" w:val="04A0"/>
      </w:tblPr>
      <w:tblGrid>
        <w:gridCol w:w="5083"/>
        <w:gridCol w:w="5083"/>
      </w:tblGrid>
      <w:tr>
        <w:tc>
          <w:tcPr>
            <w:tcW w:type="dxa" w:w="3024"/>
            <w:vAlign w:val="center"/>
            <w:shd w:fill="1F4E78"/>
          </w:tcPr>
          <w:p>
            <w:r/>
            <w:r>
              <w:rPr>
                <w:b/>
                <w:color w:val="FFFFFF"/>
                <w:sz w:val="17"/>
              </w:rPr>
              <w:t>Element</w:t>
            </w:r>
          </w:p>
        </w:tc>
        <w:tc>
          <w:tcPr>
            <w:tcW w:type="dxa" w:w="6624"/>
            <w:vAlign w:val="center"/>
            <w:shd w:fill="1F4E78"/>
          </w:tcPr>
          <w:p>
            <w:r/>
            <w:r>
              <w:rPr>
                <w:b/>
                <w:color w:val="FFFFFF"/>
                <w:sz w:val="17"/>
              </w:rPr>
              <w:t>Preliminary specification</w:t>
            </w:r>
          </w:p>
        </w:tc>
      </w:tr>
      <w:tr>
        <w:tc>
          <w:tcPr>
            <w:tcW w:type="dxa" w:w="3024"/>
            <w:vAlign w:val="center"/>
          </w:tcPr>
          <w:p>
            <w:r/>
            <w:r>
              <w:rPr>
                <w:b w:val="0"/>
                <w:sz w:val="17"/>
              </w:rPr>
              <w:t>Outer skin</w:t>
            </w:r>
          </w:p>
        </w:tc>
        <w:tc>
          <w:tcPr>
            <w:tcW w:type="dxa" w:w="6624"/>
            <w:vAlign w:val="center"/>
          </w:tcPr>
          <w:p>
            <w:r/>
            <w:r>
              <w:rPr>
                <w:b w:val="0"/>
                <w:sz w:val="17"/>
              </w:rPr>
              <w:t>1.5-2.0 mm powder-coated steel or aluminum</w:t>
            </w:r>
          </w:p>
        </w:tc>
      </w:tr>
      <w:tr>
        <w:tc>
          <w:tcPr>
            <w:tcW w:type="dxa" w:w="3024"/>
            <w:vAlign w:val="center"/>
            <w:shd w:fill="F5F8FA"/>
          </w:tcPr>
          <w:p>
            <w:r/>
            <w:r>
              <w:rPr>
                <w:b w:val="0"/>
                <w:sz w:val="17"/>
              </w:rPr>
              <w:t>Coolant layer</w:t>
            </w:r>
          </w:p>
        </w:tc>
        <w:tc>
          <w:tcPr>
            <w:tcW w:type="dxa" w:w="6624"/>
            <w:vAlign w:val="center"/>
            <w:shd w:fill="F5F8FA"/>
          </w:tcPr>
          <w:p>
            <w:r/>
            <w:r>
              <w:rPr>
                <w:b w:val="0"/>
                <w:sz w:val="17"/>
              </w:rPr>
              <w:t>Bonded/extruded microchannels, approximately 6-12 mm overall panel depth</w:t>
            </w:r>
          </w:p>
        </w:tc>
      </w:tr>
      <w:tr>
        <w:tc>
          <w:tcPr>
            <w:tcW w:type="dxa" w:w="3024"/>
            <w:vAlign w:val="center"/>
          </w:tcPr>
          <w:p>
            <w:r/>
            <w:r>
              <w:rPr>
                <w:b w:val="0"/>
                <w:sz w:val="17"/>
              </w:rPr>
              <w:t>Channel width/depth</w:t>
            </w:r>
          </w:p>
        </w:tc>
        <w:tc>
          <w:tcPr>
            <w:tcW w:type="dxa" w:w="6624"/>
            <w:vAlign w:val="center"/>
          </w:tcPr>
          <w:p>
            <w:r/>
            <w:r>
              <w:rPr>
                <w:b w:val="0"/>
                <w:sz w:val="17"/>
              </w:rPr>
              <w:t>Approximately 4-8 mm wide and 3-6 mm deep</w:t>
            </w:r>
          </w:p>
        </w:tc>
      </w:tr>
      <w:tr>
        <w:tc>
          <w:tcPr>
            <w:tcW w:type="dxa" w:w="3024"/>
            <w:vAlign w:val="center"/>
            <w:shd w:fill="F5F8FA"/>
          </w:tcPr>
          <w:p>
            <w:r/>
            <w:r>
              <w:rPr>
                <w:b w:val="0"/>
                <w:sz w:val="17"/>
              </w:rPr>
              <w:t>Channel spacing</w:t>
            </w:r>
          </w:p>
        </w:tc>
        <w:tc>
          <w:tcPr>
            <w:tcW w:type="dxa" w:w="6624"/>
            <w:vAlign w:val="center"/>
            <w:shd w:fill="F5F8FA"/>
          </w:tcPr>
          <w:p>
            <w:r/>
            <w:r>
              <w:rPr>
                <w:b w:val="0"/>
                <w:sz w:val="17"/>
              </w:rPr>
              <w:t>Approximately 15-30 mm</w:t>
            </w:r>
          </w:p>
        </w:tc>
      </w:tr>
      <w:tr>
        <w:tc>
          <w:tcPr>
            <w:tcW w:type="dxa" w:w="3024"/>
            <w:vAlign w:val="center"/>
          </w:tcPr>
          <w:p>
            <w:r/>
            <w:r>
              <w:rPr>
                <w:b w:val="0"/>
                <w:sz w:val="17"/>
              </w:rPr>
              <w:t>Coolant velocity</w:t>
            </w:r>
          </w:p>
        </w:tc>
        <w:tc>
          <w:tcPr>
            <w:tcW w:type="dxa" w:w="6624"/>
            <w:vAlign w:val="center"/>
          </w:tcPr>
          <w:p>
            <w:r/>
            <w:r>
              <w:rPr>
                <w:b w:val="0"/>
                <w:sz w:val="17"/>
              </w:rPr>
              <w:t>Approximately 0.5-1.5 m/s</w:t>
            </w:r>
          </w:p>
        </w:tc>
      </w:tr>
      <w:tr>
        <w:tc>
          <w:tcPr>
            <w:tcW w:type="dxa" w:w="3024"/>
            <w:vAlign w:val="center"/>
            <w:shd w:fill="F5F8FA"/>
          </w:tcPr>
          <w:p>
            <w:r/>
            <w:r>
              <w:rPr>
                <w:b w:val="0"/>
                <w:sz w:val="17"/>
              </w:rPr>
              <w:t>Branch pressure drop</w:t>
            </w:r>
          </w:p>
        </w:tc>
        <w:tc>
          <w:tcPr>
            <w:tcW w:type="dxa" w:w="6624"/>
            <w:vAlign w:val="center"/>
            <w:shd w:fill="F5F8FA"/>
          </w:tcPr>
          <w:p>
            <w:r/>
            <w:r>
              <w:rPr>
                <w:b w:val="0"/>
                <w:sz w:val="17"/>
              </w:rPr>
              <w:t>Target less than 50-70 kPa</w:t>
            </w:r>
          </w:p>
        </w:tc>
      </w:tr>
      <w:tr>
        <w:tc>
          <w:tcPr>
            <w:tcW w:type="dxa" w:w="3024"/>
            <w:vAlign w:val="center"/>
          </w:tcPr>
          <w:p>
            <w:r/>
            <w:r>
              <w:rPr>
                <w:b w:val="0"/>
                <w:sz w:val="17"/>
              </w:rPr>
              <w:t>Connections</w:t>
            </w:r>
          </w:p>
        </w:tc>
        <w:tc>
          <w:tcPr>
            <w:tcW w:type="dxa" w:w="6624"/>
            <w:vAlign w:val="center"/>
          </w:tcPr>
          <w:p>
            <w:r/>
            <w:r>
              <w:rPr>
                <w:b w:val="0"/>
                <w:sz w:val="17"/>
              </w:rPr>
              <w:t>Rear-edge dripless quick disconnects and isolation valves</w:t>
            </w:r>
          </w:p>
        </w:tc>
      </w:tr>
      <w:tr>
        <w:tc>
          <w:tcPr>
            <w:tcW w:type="dxa" w:w="3024"/>
            <w:vAlign w:val="center"/>
            <w:shd w:fill="F5F8FA"/>
          </w:tcPr>
          <w:p>
            <w:r/>
            <w:r>
              <w:rPr>
                <w:b w:val="0"/>
                <w:sz w:val="17"/>
              </w:rPr>
              <w:t>Monitoring</w:t>
            </w:r>
          </w:p>
        </w:tc>
        <w:tc>
          <w:tcPr>
            <w:tcW w:type="dxa" w:w="6624"/>
            <w:vAlign w:val="center"/>
            <w:shd w:fill="F5F8FA"/>
          </w:tcPr>
          <w:p>
            <w:r/>
            <w:r>
              <w:rPr>
                <w:b w:val="0"/>
                <w:sz w:val="17"/>
              </w:rPr>
              <w:t>Supply/return temperature, flow, differential pressure and leak sensing</w:t>
            </w:r>
          </w:p>
        </w:tc>
      </w:tr>
      <w:tr>
        <w:tc>
          <w:tcPr>
            <w:tcW w:type="dxa" w:w="3024"/>
            <w:vAlign w:val="center"/>
          </w:tcPr>
          <w:p>
            <w:r/>
            <w:r>
              <w:rPr>
                <w:b w:val="0"/>
                <w:sz w:val="17"/>
              </w:rPr>
              <w:t>Validation</w:t>
            </w:r>
          </w:p>
        </w:tc>
        <w:tc>
          <w:tcPr>
            <w:tcW w:type="dxa" w:w="6624"/>
            <w:vAlign w:val="center"/>
          </w:tcPr>
          <w:p>
            <w:r/>
            <w:r>
              <w:rPr>
                <w:b w:val="0"/>
                <w:sz w:val="17"/>
              </w:rPr>
              <w:t>CFD, structural proof pressure, fatigue and corrosion qualification required</w:t>
            </w:r>
          </w:p>
        </w:tc>
      </w:tr>
    </w:tbl>
    <w:p>
      <w:pPr>
        <w:spacing w:after="80" w:line="247" w:lineRule="auto"/>
      </w:pPr>
    </w:p>
    <w:p>
      <w:pPr>
        <w:pStyle w:val="Heading2"/>
        <w:keepNext/>
        <w:spacing w:before="200" w:after="80"/>
      </w:pPr>
      <w:r>
        <w:t>12.3 Dew-Point and Temperature Control</w:t>
      </w:r>
    </w:p>
    <w:p>
      <w:pPr>
        <w:spacing w:after="80" w:line="247" w:lineRule="auto"/>
      </w:pPr>
      <w:r>
        <w:t>The design must not attempt to refrigerate the cabinet to extremely low temperatures. Coolant below room dew point can create condensation and electrical failure. The minimum coolant supply temperature shall remain above measured dew point by a configurable safety margin.</w:t>
      </w:r>
    </w:p>
    <w:p>
      <w:pPr>
        <w:spacing w:before="80" w:after="80" w:line="247" w:lineRule="auto"/>
        <w:ind w:left="504" w:right="504"/>
        <w:shd w:fill="F2F4F7"/>
      </w:pPr>
      <w:r>
        <w:rPr>
          <w:rFonts w:ascii="Consolas" w:hAnsi="Consolas"/>
          <w:sz w:val="17"/>
        </w:rPr>
        <w:t>Minimum coolant supply temperature = measured room dew point + 2°C to 5°C safety margin</w:t>
      </w:r>
    </w:p>
    <w:tbl>
      <w:tblPr>
        <w:tblStyle w:val="TableGrid"/>
        <w:tblW w:type="auto" w:w="0"/>
        <w:jc w:val="center"/>
        <w:tblLook w:firstColumn="1" w:firstRow="1" w:lastColumn="0" w:lastRow="0" w:noHBand="0" w:noVBand="1" w:val="04A0"/>
      </w:tblPr>
      <w:tblGrid>
        <w:gridCol w:w="5083"/>
        <w:gridCol w:w="5083"/>
      </w:tblGrid>
      <w:tr>
        <w:tc>
          <w:tcPr>
            <w:tcW w:type="dxa" w:w="3168"/>
            <w:vAlign w:val="center"/>
            <w:shd w:fill="1F4E78"/>
          </w:tcPr>
          <w:p>
            <w:r/>
            <w:r>
              <w:rPr>
                <w:b/>
                <w:color w:val="FFFFFF"/>
                <w:sz w:val="17"/>
              </w:rPr>
              <w:t>Parameter</w:t>
            </w:r>
          </w:p>
        </w:tc>
        <w:tc>
          <w:tcPr>
            <w:tcW w:type="dxa" w:w="6480"/>
            <w:vAlign w:val="center"/>
            <w:shd w:fill="1F4E78"/>
          </w:tcPr>
          <w:p>
            <w:r/>
            <w:r>
              <w:rPr>
                <w:b/>
                <w:color w:val="FFFFFF"/>
                <w:sz w:val="17"/>
              </w:rPr>
              <w:t>Preliminary target</w:t>
            </w:r>
          </w:p>
        </w:tc>
      </w:tr>
      <w:tr>
        <w:tc>
          <w:tcPr>
            <w:tcW w:type="dxa" w:w="3168"/>
            <w:vAlign w:val="center"/>
          </w:tcPr>
          <w:p>
            <w:r/>
            <w:r>
              <w:rPr>
                <w:b w:val="0"/>
                <w:sz w:val="17"/>
              </w:rPr>
              <w:t>Secondary-loop supply</w:t>
            </w:r>
          </w:p>
        </w:tc>
        <w:tc>
          <w:tcPr>
            <w:tcW w:type="dxa" w:w="6480"/>
            <w:vAlign w:val="center"/>
          </w:tcPr>
          <w:p>
            <w:r/>
            <w:r>
              <w:rPr>
                <w:b w:val="0"/>
                <w:sz w:val="17"/>
              </w:rPr>
              <w:t>Approximately 18-25°C</w:t>
            </w:r>
          </w:p>
        </w:tc>
      </w:tr>
      <w:tr>
        <w:tc>
          <w:tcPr>
            <w:tcW w:type="dxa" w:w="3168"/>
            <w:vAlign w:val="center"/>
            <w:shd w:fill="F5F8FA"/>
          </w:tcPr>
          <w:p>
            <w:r/>
            <w:r>
              <w:rPr>
                <w:b w:val="0"/>
                <w:sz w:val="17"/>
              </w:rPr>
              <w:t>Secondary-loop return</w:t>
            </w:r>
          </w:p>
        </w:tc>
        <w:tc>
          <w:tcPr>
            <w:tcW w:type="dxa" w:w="6480"/>
            <w:vAlign w:val="center"/>
            <w:shd w:fill="F5F8FA"/>
          </w:tcPr>
          <w:p>
            <w:r/>
            <w:r>
              <w:rPr>
                <w:b w:val="0"/>
                <w:sz w:val="17"/>
              </w:rPr>
              <w:t>Approximately 25-35°C</w:t>
            </w:r>
          </w:p>
        </w:tc>
      </w:tr>
      <w:tr>
        <w:tc>
          <w:tcPr>
            <w:tcW w:type="dxa" w:w="3168"/>
            <w:vAlign w:val="center"/>
          </w:tcPr>
          <w:p>
            <w:r/>
            <w:r>
              <w:rPr>
                <w:b w:val="0"/>
                <w:sz w:val="17"/>
              </w:rPr>
              <w:t>Server inlet air</w:t>
            </w:r>
          </w:p>
        </w:tc>
        <w:tc>
          <w:tcPr>
            <w:tcW w:type="dxa" w:w="6480"/>
            <w:vAlign w:val="center"/>
          </w:tcPr>
          <w:p>
            <w:r/>
            <w:r>
              <w:rPr>
                <w:b w:val="0"/>
                <w:sz w:val="17"/>
              </w:rPr>
              <w:t>Approximately 18-27°C</w:t>
            </w:r>
          </w:p>
        </w:tc>
      </w:tr>
      <w:tr>
        <w:tc>
          <w:tcPr>
            <w:tcW w:type="dxa" w:w="3168"/>
            <w:vAlign w:val="center"/>
            <w:shd w:fill="F5F8FA"/>
          </w:tcPr>
          <w:p>
            <w:r/>
            <w:r>
              <w:rPr>
                <w:b w:val="0"/>
                <w:sz w:val="17"/>
              </w:rPr>
              <w:t>Cabinet inner skin</w:t>
            </w:r>
          </w:p>
        </w:tc>
        <w:tc>
          <w:tcPr>
            <w:tcW w:type="dxa" w:w="6480"/>
            <w:vAlign w:val="center"/>
            <w:shd w:fill="F5F8FA"/>
          </w:tcPr>
          <w:p>
            <w:r/>
            <w:r>
              <w:rPr>
                <w:b w:val="0"/>
                <w:sz w:val="17"/>
              </w:rPr>
              <w:t>Approximately 20-30°C</w:t>
            </w:r>
          </w:p>
        </w:tc>
      </w:tr>
      <w:tr>
        <w:tc>
          <w:tcPr>
            <w:tcW w:type="dxa" w:w="3168"/>
            <w:vAlign w:val="center"/>
          </w:tcPr>
          <w:p>
            <w:r/>
            <w:r>
              <w:rPr>
                <w:b w:val="0"/>
                <w:sz w:val="17"/>
              </w:rPr>
              <w:t>Cooling redundancy</w:t>
            </w:r>
          </w:p>
        </w:tc>
        <w:tc>
          <w:tcPr>
            <w:tcW w:type="dxa" w:w="6480"/>
            <w:vAlign w:val="center"/>
          </w:tcPr>
          <w:p>
            <w:r/>
            <w:r>
              <w:rPr>
                <w:b w:val="0"/>
                <w:sz w:val="17"/>
              </w:rPr>
              <w:t>N+1 pumps and fans; dual power feeds</w:t>
            </w:r>
          </w:p>
        </w:tc>
      </w:tr>
      <w:tr>
        <w:tc>
          <w:tcPr>
            <w:tcW w:type="dxa" w:w="3168"/>
            <w:vAlign w:val="center"/>
            <w:shd w:fill="F5F8FA"/>
          </w:tcPr>
          <w:p>
            <w:r/>
            <w:r>
              <w:rPr>
                <w:b w:val="0"/>
                <w:sz w:val="17"/>
              </w:rPr>
              <w:t>Leak response</w:t>
            </w:r>
          </w:p>
        </w:tc>
        <w:tc>
          <w:tcPr>
            <w:tcW w:type="dxa" w:w="6480"/>
            <w:vAlign w:val="center"/>
            <w:shd w:fill="F5F8FA"/>
          </w:tcPr>
          <w:p>
            <w:r/>
            <w:r>
              <w:rPr>
                <w:b w:val="0"/>
                <w:sz w:val="17"/>
              </w:rPr>
              <w:t>Automatic branch isolation, alerting, workload migration and staged shutdown</w:t>
            </w:r>
          </w:p>
        </w:tc>
      </w:tr>
    </w:tbl>
    <w:p>
      <w:pPr>
        <w:spacing w:after="80" w:line="247" w:lineRule="auto"/>
      </w:pPr>
    </w:p>
    <w:p>
      <w:pPr>
        <w:pStyle w:val="Heading2"/>
        <w:keepNext/>
        <w:spacing w:before="200" w:after="80"/>
      </w:pPr>
      <w:r>
        <w:t>12.4 Liquid Safety and Materials</w:t>
      </w:r>
    </w:p>
    <w:p>
      <w:pPr>
        <w:pStyle w:val="ListBullet"/>
      </w:pPr>
      <w:r>
        <w:t>Use CDU-isolated treated water or a qualified water-glycol mix where freezing exposure exists.</w:t>
      </w:r>
    </w:p>
    <w:p>
      <w:pPr>
        <w:pStyle w:val="ListBullet"/>
      </w:pPr>
      <w:r>
        <w:t>Use stainless steel, copper, nickel-plated copper or qualified protected aluminum; avoid uncontrolled galvanic combinations.</w:t>
      </w:r>
    </w:p>
    <w:p>
      <w:pPr>
        <w:pStyle w:val="ListBullet"/>
      </w:pPr>
      <w:r>
        <w:t>Install dripless couplings, branch isolation valves, drip trays, leak cable and reservoir-level monitoring.</w:t>
      </w:r>
    </w:p>
    <w:p>
      <w:pPr>
        <w:pStyle w:val="ListBullet"/>
      </w:pPr>
      <w:r>
        <w:t>Prioritize coolant flow to direct-to-chip branches; cabinet-wall cooling must never starve processor or NIC cold plates.</w:t>
      </w:r>
    </w:p>
    <w:p>
      <w:pPr>
        <w:pStyle w:val="ListBullet"/>
      </w:pPr>
      <w:r>
        <w:t>Insulate supply pipes and any surface that could approach dew point using fire-rated closed-cell insulation.</w:t>
      </w:r>
    </w:p>
    <w:p>
      <w:pPr>
        <w:pStyle w:val="Heading1"/>
        <w:keepNext/>
        <w:spacing w:before="200" w:after="80"/>
      </w:pPr>
      <w:r>
        <w:t>13. Hardware, Software and Network Build Requirements</w:t>
      </w:r>
    </w:p>
    <w:p>
      <w:pPr>
        <w:pStyle w:val="Heading2"/>
        <w:keepNext/>
        <w:spacing w:before="200" w:after="80"/>
      </w:pPr>
      <w:r>
        <w:t>13.1 Reference Rack Bill of Materials</w:t>
      </w:r>
    </w:p>
    <w:tbl>
      <w:tblPr>
        <w:tblStyle w:val="TableGrid"/>
        <w:tblW w:type="auto" w:w="0"/>
        <w:jc w:val="center"/>
        <w:tblLook w:firstColumn="1" w:firstRow="1" w:lastColumn="0" w:lastRow="0" w:noHBand="0" w:noVBand="1" w:val="04A0"/>
      </w:tblPr>
      <w:tblGrid>
        <w:gridCol w:w="5083"/>
        <w:gridCol w:w="5083"/>
      </w:tblGrid>
      <w:tr>
        <w:tc>
          <w:tcPr>
            <w:tcW w:type="dxa" w:w="3600"/>
            <w:vAlign w:val="center"/>
            <w:shd w:fill="1F4E78"/>
          </w:tcPr>
          <w:p>
            <w:r/>
            <w:r>
              <w:rPr>
                <w:b/>
                <w:color w:val="FFFFFF"/>
                <w:sz w:val="17"/>
              </w:rPr>
              <w:t>Item</w:t>
            </w:r>
          </w:p>
        </w:tc>
        <w:tc>
          <w:tcPr>
            <w:tcW w:type="dxa" w:w="6048"/>
            <w:vAlign w:val="center"/>
            <w:shd w:fill="1F4E78"/>
          </w:tcPr>
          <w:p>
            <w:r/>
            <w:r>
              <w:rPr>
                <w:b/>
                <w:color w:val="FFFFFF"/>
                <w:sz w:val="17"/>
              </w:rPr>
              <w:t>Reference quantity</w:t>
            </w:r>
          </w:p>
        </w:tc>
      </w:tr>
      <w:tr>
        <w:tc>
          <w:tcPr>
            <w:tcW w:type="dxa" w:w="3600"/>
            <w:vAlign w:val="center"/>
          </w:tcPr>
          <w:p>
            <w:r/>
            <w:r>
              <w:rPr>
                <w:b w:val="0"/>
                <w:sz w:val="17"/>
              </w:rPr>
              <w:t>48U high-density cabinet</w:t>
            </w:r>
          </w:p>
        </w:tc>
        <w:tc>
          <w:tcPr>
            <w:tcW w:type="dxa" w:w="6048"/>
            <w:vAlign w:val="center"/>
          </w:tcPr>
          <w:p>
            <w:r/>
            <w:r>
              <w:rPr>
                <w:b w:val="0"/>
                <w:sz w:val="17"/>
              </w:rPr>
              <w:t>1</w:t>
            </w:r>
          </w:p>
        </w:tc>
      </w:tr>
      <w:tr>
        <w:tc>
          <w:tcPr>
            <w:tcW w:type="dxa" w:w="3600"/>
            <w:vAlign w:val="center"/>
            <w:shd w:fill="F5F8FA"/>
          </w:tcPr>
          <w:p>
            <w:r/>
            <w:r>
              <w:rPr>
                <w:b w:val="0"/>
                <w:sz w:val="17"/>
              </w:rPr>
              <w:t>Performance storage nodes</w:t>
            </w:r>
          </w:p>
        </w:tc>
        <w:tc>
          <w:tcPr>
            <w:tcW w:type="dxa" w:w="6048"/>
            <w:vAlign w:val="center"/>
            <w:shd w:fill="F5F8FA"/>
          </w:tcPr>
          <w:p>
            <w:r/>
            <w:r>
              <w:rPr>
                <w:b w:val="0"/>
                <w:sz w:val="17"/>
              </w:rPr>
              <w:t>8 standard; up to 32 for maximum performance</w:t>
            </w:r>
          </w:p>
        </w:tc>
      </w:tr>
      <w:tr>
        <w:tc>
          <w:tcPr>
            <w:tcW w:type="dxa" w:w="3600"/>
            <w:vAlign w:val="center"/>
          </w:tcPr>
          <w:p>
            <w:r/>
            <w:r>
              <w:rPr>
                <w:b w:val="0"/>
                <w:sz w:val="17"/>
              </w:rPr>
              <w:t>Capacity/flash-mesh shelves</w:t>
            </w:r>
          </w:p>
        </w:tc>
        <w:tc>
          <w:tcPr>
            <w:tcW w:type="dxa" w:w="6048"/>
            <w:vAlign w:val="center"/>
          </w:tcPr>
          <w:p>
            <w:r/>
            <w:r>
              <w:rPr>
                <w:b w:val="0"/>
                <w:sz w:val="17"/>
              </w:rPr>
              <w:t>8-16, configuration dependent</w:t>
            </w:r>
          </w:p>
        </w:tc>
      </w:tr>
      <w:tr>
        <w:tc>
          <w:tcPr>
            <w:tcW w:type="dxa" w:w="3600"/>
            <w:vAlign w:val="center"/>
            <w:shd w:fill="F5F8FA"/>
          </w:tcPr>
          <w:p>
            <w:r/>
            <w:r>
              <w:rPr>
                <w:b w:val="0"/>
                <w:sz w:val="17"/>
              </w:rPr>
              <w:t>Control and metadata nodes</w:t>
            </w:r>
          </w:p>
        </w:tc>
        <w:tc>
          <w:tcPr>
            <w:tcW w:type="dxa" w:w="6048"/>
            <w:vAlign w:val="center"/>
            <w:shd w:fill="F5F8FA"/>
          </w:tcPr>
          <w:p>
            <w:r/>
            <w:r>
              <w:rPr>
                <w:b w:val="0"/>
                <w:sz w:val="17"/>
              </w:rPr>
              <w:t>3 minimum; 5 at larger scale</w:t>
            </w:r>
          </w:p>
        </w:tc>
      </w:tr>
      <w:tr>
        <w:tc>
          <w:tcPr>
            <w:tcW w:type="dxa" w:w="3600"/>
            <w:vAlign w:val="center"/>
          </w:tcPr>
          <w:p>
            <w:r/>
            <w:r>
              <w:rPr>
                <w:b w:val="0"/>
                <w:sz w:val="17"/>
              </w:rPr>
              <w:t>Cloud gateway nodes</w:t>
            </w:r>
          </w:p>
        </w:tc>
        <w:tc>
          <w:tcPr>
            <w:tcW w:type="dxa" w:w="6048"/>
            <w:vAlign w:val="center"/>
          </w:tcPr>
          <w:p>
            <w:r/>
            <w:r>
              <w:rPr>
                <w:b w:val="0"/>
                <w:sz w:val="17"/>
              </w:rPr>
              <w:t>2 minimum, active-active</w:t>
            </w:r>
          </w:p>
        </w:tc>
      </w:tr>
      <w:tr>
        <w:tc>
          <w:tcPr>
            <w:tcW w:type="dxa" w:w="3600"/>
            <w:vAlign w:val="center"/>
            <w:shd w:fill="F5F8FA"/>
          </w:tcPr>
          <w:p>
            <w:r/>
            <w:r>
              <w:rPr>
                <w:b w:val="0"/>
                <w:sz w:val="17"/>
              </w:rPr>
              <w:t>Spectrum-X storage switches</w:t>
            </w:r>
          </w:p>
        </w:tc>
        <w:tc>
          <w:tcPr>
            <w:tcW w:type="dxa" w:w="6048"/>
            <w:vAlign w:val="center"/>
            <w:shd w:fill="F5F8FA"/>
          </w:tcPr>
          <w:p>
            <w:r/>
            <w:r>
              <w:rPr>
                <w:b w:val="0"/>
                <w:sz w:val="17"/>
              </w:rPr>
              <w:t>2 independent fabrics</w:t>
            </w:r>
          </w:p>
        </w:tc>
      </w:tr>
      <w:tr>
        <w:tc>
          <w:tcPr>
            <w:tcW w:type="dxa" w:w="3600"/>
            <w:vAlign w:val="center"/>
          </w:tcPr>
          <w:p>
            <w:r/>
            <w:r>
              <w:rPr>
                <w:b w:val="0"/>
                <w:sz w:val="17"/>
              </w:rPr>
              <w:t>Management switches</w:t>
            </w:r>
          </w:p>
        </w:tc>
        <w:tc>
          <w:tcPr>
            <w:tcW w:type="dxa" w:w="6048"/>
            <w:vAlign w:val="center"/>
          </w:tcPr>
          <w:p>
            <w:r/>
            <w:r>
              <w:rPr>
                <w:b w:val="0"/>
                <w:sz w:val="17"/>
              </w:rPr>
              <w:t>2</w:t>
            </w:r>
          </w:p>
        </w:tc>
      </w:tr>
      <w:tr>
        <w:tc>
          <w:tcPr>
            <w:tcW w:type="dxa" w:w="3600"/>
            <w:vAlign w:val="center"/>
            <w:shd w:fill="F5F8FA"/>
          </w:tcPr>
          <w:p>
            <w:r/>
            <w:r>
              <w:rPr>
                <w:b w:val="0"/>
                <w:sz w:val="17"/>
              </w:rPr>
              <w:t>Intelligent PDUs</w:t>
            </w:r>
          </w:p>
        </w:tc>
        <w:tc>
          <w:tcPr>
            <w:tcW w:type="dxa" w:w="6048"/>
            <w:vAlign w:val="center"/>
            <w:shd w:fill="F5F8FA"/>
          </w:tcPr>
          <w:p>
            <w:r/>
            <w:r>
              <w:rPr>
                <w:b w:val="0"/>
                <w:sz w:val="17"/>
              </w:rPr>
              <w:t>A and B; 2N preferred</w:t>
            </w:r>
          </w:p>
        </w:tc>
      </w:tr>
      <w:tr>
        <w:tc>
          <w:tcPr>
            <w:tcW w:type="dxa" w:w="3600"/>
            <w:vAlign w:val="center"/>
          </w:tcPr>
          <w:p>
            <w:r/>
            <w:r>
              <w:rPr>
                <w:b w:val="0"/>
                <w:sz w:val="17"/>
              </w:rPr>
              <w:t>Rack CDU or coolant interface</w:t>
            </w:r>
          </w:p>
        </w:tc>
        <w:tc>
          <w:tcPr>
            <w:tcW w:type="dxa" w:w="6048"/>
            <w:vAlign w:val="center"/>
          </w:tcPr>
          <w:p>
            <w:r/>
            <w:r>
              <w:rPr>
                <w:b w:val="0"/>
                <w:sz w:val="17"/>
              </w:rPr>
              <w:t>1, where liquid cooling is used</w:t>
            </w:r>
          </w:p>
        </w:tc>
      </w:tr>
      <w:tr>
        <w:tc>
          <w:tcPr>
            <w:tcW w:type="dxa" w:w="3600"/>
            <w:vAlign w:val="center"/>
            <w:shd w:fill="F5F8FA"/>
          </w:tcPr>
          <w:p>
            <w:r/>
            <w:r>
              <w:rPr>
                <w:b w:val="0"/>
                <w:sz w:val="17"/>
              </w:rPr>
              <w:t>Environmental sensor package</w:t>
            </w:r>
          </w:p>
        </w:tc>
        <w:tc>
          <w:tcPr>
            <w:tcW w:type="dxa" w:w="6048"/>
            <w:vAlign w:val="center"/>
            <w:shd w:fill="F5F8FA"/>
          </w:tcPr>
          <w:p>
            <w:r/>
            <w:r>
              <w:rPr>
                <w:b w:val="0"/>
                <w:sz w:val="17"/>
              </w:rPr>
              <w:t>1</w:t>
            </w:r>
          </w:p>
        </w:tc>
      </w:tr>
      <w:tr>
        <w:tc>
          <w:tcPr>
            <w:tcW w:type="dxa" w:w="3600"/>
            <w:vAlign w:val="center"/>
          </w:tcPr>
          <w:p>
            <w:r/>
            <w:r>
              <w:rPr>
                <w:b w:val="0"/>
                <w:sz w:val="17"/>
              </w:rPr>
              <w:t>Spare SSDs</w:t>
            </w:r>
          </w:p>
        </w:tc>
        <w:tc>
          <w:tcPr>
            <w:tcW w:type="dxa" w:w="6048"/>
            <w:vAlign w:val="center"/>
          </w:tcPr>
          <w:p>
            <w:r/>
            <w:r>
              <w:rPr>
                <w:b w:val="0"/>
                <w:sz w:val="17"/>
              </w:rPr>
              <w:t>2-5% of installed media</w:t>
            </w:r>
          </w:p>
        </w:tc>
      </w:tr>
      <w:tr>
        <w:tc>
          <w:tcPr>
            <w:tcW w:type="dxa" w:w="3600"/>
            <w:vAlign w:val="center"/>
            <w:shd w:fill="F5F8FA"/>
          </w:tcPr>
          <w:p>
            <w:r/>
            <w:r>
              <w:rPr>
                <w:b w:val="0"/>
                <w:sz w:val="17"/>
              </w:rPr>
              <w:t>Spare NICs and optics</w:t>
            </w:r>
          </w:p>
        </w:tc>
        <w:tc>
          <w:tcPr>
            <w:tcW w:type="dxa" w:w="6048"/>
            <w:vAlign w:val="center"/>
            <w:shd w:fill="F5F8FA"/>
          </w:tcPr>
          <w:p>
            <w:r/>
            <w:r>
              <w:rPr>
                <w:b w:val="0"/>
                <w:sz w:val="17"/>
              </w:rPr>
              <w:t>At least one NIC per type and 5% optics</w:t>
            </w:r>
          </w:p>
        </w:tc>
      </w:tr>
    </w:tbl>
    <w:p>
      <w:pPr>
        <w:spacing w:after="80" w:line="247" w:lineRule="auto"/>
      </w:pPr>
    </w:p>
    <w:p>
      <w:pPr>
        <w:pStyle w:val="Heading2"/>
        <w:keepNext/>
        <w:spacing w:before="200" w:after="80"/>
      </w:pPr>
      <w:r>
        <w:t>13.2 Software Stack</w:t>
      </w:r>
    </w:p>
    <w:tbl>
      <w:tblPr>
        <w:tblStyle w:val="TableGrid"/>
        <w:tblW w:type="auto" w:w="0"/>
        <w:jc w:val="center"/>
        <w:tblLook w:firstColumn="1" w:firstRow="1" w:lastColumn="0" w:lastRow="0" w:noHBand="0" w:noVBand="1" w:val="04A0"/>
      </w:tblPr>
      <w:tblGrid>
        <w:gridCol w:w="5083"/>
        <w:gridCol w:w="5083"/>
      </w:tblGrid>
      <w:tr>
        <w:tc>
          <w:tcPr>
            <w:tcW w:type="dxa" w:w="2448"/>
            <w:vAlign w:val="center"/>
            <w:shd w:fill="1F4E78"/>
          </w:tcPr>
          <w:p>
            <w:r/>
            <w:r>
              <w:rPr>
                <w:b/>
                <w:color w:val="FFFFFF"/>
                <w:sz w:val="17"/>
              </w:rPr>
              <w:t>Layer</w:t>
            </w:r>
          </w:p>
        </w:tc>
        <w:tc>
          <w:tcPr>
            <w:tcW w:type="dxa" w:w="7200"/>
            <w:vAlign w:val="center"/>
            <w:shd w:fill="1F4E78"/>
          </w:tcPr>
          <w:p>
            <w:r/>
            <w:r>
              <w:rPr>
                <w:b/>
                <w:color w:val="FFFFFF"/>
                <w:sz w:val="17"/>
              </w:rPr>
              <w:t>Required capabilities</w:t>
            </w:r>
          </w:p>
        </w:tc>
      </w:tr>
      <w:tr>
        <w:tc>
          <w:tcPr>
            <w:tcW w:type="dxa" w:w="2448"/>
            <w:vAlign w:val="center"/>
          </w:tcPr>
          <w:p>
            <w:r/>
            <w:r>
              <w:rPr>
                <w:b w:val="0"/>
                <w:sz w:val="17"/>
              </w:rPr>
              <w:t>Hardened operating system</w:t>
            </w:r>
          </w:p>
        </w:tc>
        <w:tc>
          <w:tcPr>
            <w:tcW w:type="dxa" w:w="7200"/>
            <w:vAlign w:val="center"/>
          </w:tcPr>
          <w:p>
            <w:r/>
            <w:r>
              <w:rPr>
                <w:b w:val="0"/>
                <w:sz w:val="17"/>
              </w:rPr>
              <w:t>Enterprise Linux, Secure Boot, measured boot, SELinux, signed modules, immutable or image-based deployment</w:t>
            </w:r>
          </w:p>
        </w:tc>
      </w:tr>
      <w:tr>
        <w:tc>
          <w:tcPr>
            <w:tcW w:type="dxa" w:w="2448"/>
            <w:vAlign w:val="center"/>
            <w:shd w:fill="F5F8FA"/>
          </w:tcPr>
          <w:p>
            <w:r/>
            <w:r>
              <w:rPr>
                <w:b w:val="0"/>
                <w:sz w:val="17"/>
              </w:rPr>
              <w:t>Distributed storage</w:t>
            </w:r>
          </w:p>
        </w:tc>
        <w:tc>
          <w:tcPr>
            <w:tcW w:type="dxa" w:w="7200"/>
            <w:vAlign w:val="center"/>
            <w:shd w:fill="F5F8FA"/>
          </w:tcPr>
          <w:p>
            <w:r/>
            <w:r>
              <w:rPr>
                <w:b w:val="0"/>
                <w:sz w:val="17"/>
              </w:rPr>
              <w:t>Parallel namespace, POSIX/NFS/SMB/S3/CSI, erasure coding, snapshots, clones, quotas, QoS and automated rebalance</w:t>
            </w:r>
          </w:p>
        </w:tc>
      </w:tr>
      <w:tr>
        <w:tc>
          <w:tcPr>
            <w:tcW w:type="dxa" w:w="2448"/>
            <w:vAlign w:val="center"/>
          </w:tcPr>
          <w:p>
            <w:r/>
            <w:r>
              <w:rPr>
                <w:b w:val="0"/>
                <w:sz w:val="17"/>
              </w:rPr>
              <w:t>AI data services</w:t>
            </w:r>
          </w:p>
        </w:tc>
        <w:tc>
          <w:tcPr>
            <w:tcW w:type="dxa" w:w="7200"/>
            <w:vAlign w:val="center"/>
          </w:tcPr>
          <w:p>
            <w:r/>
            <w:r>
              <w:rPr>
                <w:b w:val="0"/>
                <w:sz w:val="17"/>
              </w:rPr>
              <w:t>Prefetch, pinning, tier placement, GPU-aware I/O, synthetic-data services and lineage</w:t>
            </w:r>
          </w:p>
        </w:tc>
      </w:tr>
      <w:tr>
        <w:tc>
          <w:tcPr>
            <w:tcW w:type="dxa" w:w="2448"/>
            <w:vAlign w:val="center"/>
            <w:shd w:fill="F5F8FA"/>
          </w:tcPr>
          <w:p>
            <w:r/>
            <w:r>
              <w:rPr>
                <w:b w:val="0"/>
                <w:sz w:val="17"/>
              </w:rPr>
              <w:t>Security</w:t>
            </w:r>
          </w:p>
        </w:tc>
        <w:tc>
          <w:tcPr>
            <w:tcW w:type="dxa" w:w="7200"/>
            <w:vAlign w:val="center"/>
            <w:shd w:fill="F5F8FA"/>
          </w:tcPr>
          <w:p>
            <w:r/>
            <w:r>
              <w:rPr>
                <w:b w:val="0"/>
                <w:sz w:val="17"/>
              </w:rPr>
              <w:t>MFA, RBAC/ABAC, tokenization, masking, pseudonymization, encryption, immutable audit and SIEM integration</w:t>
            </w:r>
          </w:p>
        </w:tc>
      </w:tr>
      <w:tr>
        <w:tc>
          <w:tcPr>
            <w:tcW w:type="dxa" w:w="2448"/>
            <w:vAlign w:val="center"/>
          </w:tcPr>
          <w:p>
            <w:r/>
            <w:r>
              <w:rPr>
                <w:b w:val="0"/>
                <w:sz w:val="17"/>
              </w:rPr>
              <w:t>Cloud integration</w:t>
            </w:r>
          </w:p>
        </w:tc>
        <w:tc>
          <w:tcPr>
            <w:tcW w:type="dxa" w:w="7200"/>
            <w:vAlign w:val="center"/>
          </w:tcPr>
          <w:p>
            <w:r/>
            <w:r>
              <w:rPr>
                <w:b w:val="0"/>
                <w:sz w:val="17"/>
              </w:rPr>
              <w:t>S3, Azure Blob, GCS/private S3, private endpoints, resumable transfer, object lock and lifecycle policies</w:t>
            </w:r>
          </w:p>
        </w:tc>
      </w:tr>
      <w:tr>
        <w:tc>
          <w:tcPr>
            <w:tcW w:type="dxa" w:w="2448"/>
            <w:vAlign w:val="center"/>
            <w:shd w:fill="F5F8FA"/>
          </w:tcPr>
          <w:p>
            <w:r/>
            <w:r>
              <w:rPr>
                <w:b w:val="0"/>
                <w:sz w:val="17"/>
              </w:rPr>
              <w:t>Observability</w:t>
            </w:r>
          </w:p>
        </w:tc>
        <w:tc>
          <w:tcPr>
            <w:tcW w:type="dxa" w:w="7200"/>
            <w:vAlign w:val="center"/>
            <w:shd w:fill="F5F8FA"/>
          </w:tcPr>
          <w:p>
            <w:r/>
            <w:r>
              <w:rPr>
                <w:b w:val="0"/>
                <w:sz w:val="17"/>
              </w:rPr>
              <w:t>Prometheus-compatible metrics, Redfish, syslog, power/thermal telemetry, SSD endurance and predictive failure analytics</w:t>
            </w:r>
          </w:p>
        </w:tc>
      </w:tr>
      <w:tr>
        <w:tc>
          <w:tcPr>
            <w:tcW w:type="dxa" w:w="2448"/>
            <w:vAlign w:val="center"/>
          </w:tcPr>
          <w:p>
            <w:r/>
            <w:r>
              <w:rPr>
                <w:b w:val="0"/>
                <w:sz w:val="17"/>
              </w:rPr>
              <w:t>Lifecycle</w:t>
            </w:r>
          </w:p>
        </w:tc>
        <w:tc>
          <w:tcPr>
            <w:tcW w:type="dxa" w:w="7200"/>
            <w:vAlign w:val="center"/>
          </w:tcPr>
          <w:p>
            <w:r/>
            <w:r>
              <w:rPr>
                <w:b w:val="0"/>
                <w:sz w:val="17"/>
              </w:rPr>
              <w:t>Rolling upgrades, signed firmware baseline, rollback, SBOM and vulnerability management</w:t>
            </w:r>
          </w:p>
        </w:tc>
      </w:tr>
    </w:tbl>
    <w:p>
      <w:pPr>
        <w:spacing w:after="80" w:line="247" w:lineRule="auto"/>
      </w:pPr>
    </w:p>
    <w:p>
      <w:pPr>
        <w:pStyle w:val="Heading2"/>
        <w:keepNext/>
        <w:spacing w:before="200" w:after="80"/>
      </w:pPr>
      <w:r>
        <w:t>13.3 Network Planes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7"/>
              </w:rPr>
              <w:t>Plane</w:t>
            </w:r>
          </w:p>
        </w:tc>
        <w:tc>
          <w:tcPr>
            <w:tcW w:type="dxa" w:w="3024"/>
            <w:vAlign w:val="center"/>
            <w:shd w:fill="1F4E78"/>
          </w:tcPr>
          <w:p>
            <w:r/>
            <w:r>
              <w:rPr>
                <w:b/>
                <w:color w:val="FFFFFF"/>
                <w:sz w:val="17"/>
              </w:rPr>
              <w:t>Connectivity</w:t>
            </w:r>
          </w:p>
        </w:tc>
        <w:tc>
          <w:tcPr>
            <w:tcW w:type="dxa" w:w="4608"/>
            <w:vAlign w:val="center"/>
            <w:shd w:fill="1F4E78"/>
          </w:tcPr>
          <w:p>
            <w:r/>
            <w:r>
              <w:rPr>
                <w:b/>
                <w:color w:val="FFFFFF"/>
                <w:sz w:val="17"/>
              </w:rPr>
              <w:t>Function</w:t>
            </w:r>
          </w:p>
        </w:tc>
      </w:tr>
      <w:tr>
        <w:tc>
          <w:tcPr>
            <w:tcW w:type="dxa" w:w="2016"/>
            <w:vAlign w:val="center"/>
          </w:tcPr>
          <w:p>
            <w:r/>
            <w:r>
              <w:rPr>
                <w:b w:val="0"/>
                <w:sz w:val="17"/>
              </w:rPr>
              <w:t>AI storage fabric</w:t>
            </w:r>
          </w:p>
        </w:tc>
        <w:tc>
          <w:tcPr>
            <w:tcW w:type="dxa" w:w="3024"/>
            <w:vAlign w:val="center"/>
          </w:tcPr>
          <w:p>
            <w:r/>
            <w:r>
              <w:rPr>
                <w:b w:val="0"/>
                <w:sz w:val="17"/>
              </w:rPr>
              <w:t>Dual 400/800 GbE, RDMA/RoCEv2, ECN, adaptive routing</w:t>
            </w:r>
          </w:p>
        </w:tc>
        <w:tc>
          <w:tcPr>
            <w:tcW w:type="dxa" w:w="4608"/>
            <w:vAlign w:val="center"/>
          </w:tcPr>
          <w:p>
            <w:r/>
            <w:r>
              <w:rPr>
                <w:b w:val="0"/>
                <w:sz w:val="17"/>
              </w:rPr>
              <w:t>GPU/CPU data access and high-bandwidth east-west movement</w:t>
            </w:r>
          </w:p>
        </w:tc>
      </w:tr>
      <w:tr>
        <w:tc>
          <w:tcPr>
            <w:tcW w:type="dxa" w:w="2016"/>
            <w:vAlign w:val="center"/>
            <w:shd w:fill="F5F8FA"/>
          </w:tcPr>
          <w:p>
            <w:r/>
            <w:r>
              <w:rPr>
                <w:b w:val="0"/>
                <w:sz w:val="17"/>
              </w:rPr>
              <w:t>Cluster/control</w:t>
            </w:r>
          </w:p>
        </w:tc>
        <w:tc>
          <w:tcPr>
            <w:tcW w:type="dxa" w:w="3024"/>
            <w:vAlign w:val="center"/>
            <w:shd w:fill="F5F8FA"/>
          </w:tcPr>
          <w:p>
            <w:r/>
            <w:r>
              <w:rPr>
                <w:b w:val="0"/>
                <w:sz w:val="17"/>
              </w:rPr>
              <w:t>Dual 25/100 GbE</w:t>
            </w:r>
          </w:p>
        </w:tc>
        <w:tc>
          <w:tcPr>
            <w:tcW w:type="dxa" w:w="4608"/>
            <w:vAlign w:val="center"/>
            <w:shd w:fill="F5F8FA"/>
          </w:tcPr>
          <w:p>
            <w:r/>
            <w:r>
              <w:rPr>
                <w:b w:val="0"/>
                <w:sz w:val="17"/>
              </w:rPr>
              <w:t>Quorum, orchestration, metadata and internal service traffic</w:t>
            </w:r>
          </w:p>
        </w:tc>
      </w:tr>
      <w:tr>
        <w:tc>
          <w:tcPr>
            <w:tcW w:type="dxa" w:w="2016"/>
            <w:vAlign w:val="center"/>
          </w:tcPr>
          <w:p>
            <w:r/>
            <w:r>
              <w:rPr>
                <w:b w:val="0"/>
                <w:sz w:val="17"/>
              </w:rPr>
              <w:t>Management</w:t>
            </w:r>
          </w:p>
        </w:tc>
        <w:tc>
          <w:tcPr>
            <w:tcW w:type="dxa" w:w="3024"/>
            <w:vAlign w:val="center"/>
          </w:tcPr>
          <w:p>
            <w:r/>
            <w:r>
              <w:rPr>
                <w:b w:val="0"/>
                <w:sz w:val="17"/>
              </w:rPr>
              <w:t>Dual 1/10/25 GbE, isolated</w:t>
            </w:r>
          </w:p>
        </w:tc>
        <w:tc>
          <w:tcPr>
            <w:tcW w:type="dxa" w:w="4608"/>
            <w:vAlign w:val="center"/>
          </w:tcPr>
          <w:p>
            <w:r/>
            <w:r>
              <w:rPr>
                <w:b w:val="0"/>
                <w:sz w:val="17"/>
              </w:rPr>
              <w:t>BMC, PDU, switch, CDU, sensor and privileged administration</w:t>
            </w:r>
          </w:p>
        </w:tc>
      </w:tr>
      <w:tr>
        <w:tc>
          <w:tcPr>
            <w:tcW w:type="dxa" w:w="2016"/>
            <w:vAlign w:val="center"/>
            <w:shd w:fill="F5F8FA"/>
          </w:tcPr>
          <w:p>
            <w:r/>
            <w:r>
              <w:rPr>
                <w:b w:val="0"/>
                <w:sz w:val="17"/>
              </w:rPr>
              <w:t>Cloud/replication</w:t>
            </w:r>
          </w:p>
        </w:tc>
        <w:tc>
          <w:tcPr>
            <w:tcW w:type="dxa" w:w="3024"/>
            <w:vAlign w:val="center"/>
            <w:shd w:fill="F5F8FA"/>
          </w:tcPr>
          <w:p>
            <w:r/>
            <w:r>
              <w:rPr>
                <w:b w:val="0"/>
                <w:sz w:val="17"/>
              </w:rPr>
              <w:t>100/200/400 GbE</w:t>
            </w:r>
          </w:p>
        </w:tc>
        <w:tc>
          <w:tcPr>
            <w:tcW w:type="dxa" w:w="4608"/>
            <w:vAlign w:val="center"/>
            <w:shd w:fill="F5F8FA"/>
          </w:tcPr>
          <w:p>
            <w:r/>
            <w:r>
              <w:rPr>
                <w:b w:val="0"/>
                <w:sz w:val="17"/>
              </w:rPr>
              <w:t>Encrypted object tiering, site replication and protected backup</w:t>
            </w:r>
          </w:p>
        </w:tc>
      </w:tr>
    </w:tbl>
    <w:p>
      <w:pPr>
        <w:spacing w:after="80" w:line="247" w:lineRule="auto"/>
      </w:pPr>
    </w:p>
    <w:p>
      <w:pPr>
        <w:pStyle w:val="Heading1"/>
        <w:keepNext/>
        <w:spacing w:before="200" w:after="80"/>
      </w:pPr>
      <w:r>
        <w:t>14. Physical Assembly and Software Build Procedure</w:t>
      </w:r>
    </w:p>
    <w:p>
      <w:pPr>
        <w:pStyle w:val="Heading2"/>
        <w:keepNext/>
        <w:spacing w:before="200" w:after="80"/>
      </w:pPr>
      <w:r>
        <w:t>14.1 Cabinet and Hardware Assembly</w:t>
      </w:r>
    </w:p>
    <w:p>
      <w:pPr>
        <w:pStyle w:val="ListNumber"/>
      </w:pPr>
      <w:r>
        <w:t>Inspect, level, anchor and ground the cabinet; validate floor loading and service clearances.</w:t>
      </w:r>
    </w:p>
    <w:p>
      <w:pPr>
        <w:pStyle w:val="ListNumber"/>
      </w:pPr>
      <w:r>
        <w:t>Install A/B PDUs, rack sensors, cable-management channels and optional CDU/manifold.</w:t>
      </w:r>
    </w:p>
    <w:p>
      <w:pPr>
        <w:pStyle w:val="ListNumber"/>
      </w:pPr>
      <w:r>
        <w:t>Install heavy capacity shelves at the bottom, performance nodes in the central zone and switches at the top.</w:t>
      </w:r>
    </w:p>
    <w:p>
      <w:pPr>
        <w:pStyle w:val="ListNumber"/>
      </w:pPr>
      <w:r>
        <w:t>Connect every device to separate A and B power paths and document outlet mapping and phase balance.</w:t>
      </w:r>
    </w:p>
    <w:p>
      <w:pPr>
        <w:pStyle w:val="ListNumber"/>
      </w:pPr>
      <w:r>
        <w:t>Connect each storage node to both independent storage fabrics and both management paths.</w:t>
      </w:r>
    </w:p>
    <w:p>
      <w:pPr>
        <w:pStyle w:val="ListNumber"/>
      </w:pPr>
      <w:r>
        <w:t>Connect cooling branches, pressure test, bleed air, validate leak detection and establish thermal baselines.</w:t>
      </w:r>
    </w:p>
    <w:p>
      <w:pPr>
        <w:pStyle w:val="ListNumber"/>
      </w:pPr>
      <w:r>
        <w:t>Label every rack unit, power circuit, network port, optic, liquid branch and replaceable module.</w:t>
      </w:r>
    </w:p>
    <w:p>
      <w:pPr>
        <w:pStyle w:val="Heading2"/>
        <w:keepNext/>
        <w:spacing w:before="200" w:after="80"/>
      </w:pPr>
      <w:r>
        <w:t>14.2 Software Commissioning</w:t>
      </w:r>
    </w:p>
    <w:p>
      <w:pPr>
        <w:pStyle w:val="ListNumber"/>
      </w:pPr>
      <w:r>
        <w:t>Apply approved BIOS, BMC, SSD, NIC, switch, PCIe retimer and PDU firmware baselines.</w:t>
      </w:r>
    </w:p>
    <w:p>
      <w:pPr>
        <w:pStyle w:val="ListNumber"/>
      </w:pPr>
      <w:r>
        <w:t>Enable Secure Boot, TPM, IOMMU, PCIe AER and approved performance/power profiles.</w:t>
      </w:r>
    </w:p>
    <w:p>
      <w:pPr>
        <w:pStyle w:val="ListNumber"/>
      </w:pPr>
      <w:r>
        <w:t>Deploy the hardened operating-system image and register nodes with identity, PKI, DNS, NTP and asset management.</w:t>
      </w:r>
    </w:p>
    <w:p>
      <w:pPr>
        <w:pStyle w:val="ListNumber"/>
      </w:pPr>
      <w:r>
        <w:t>Configure dual-fabric RDMA/RoCEv2, MTU, ECN, queue affinity, VLAN/VRF and failover.</w:t>
      </w:r>
    </w:p>
    <w:p>
      <w:pPr>
        <w:pStyle w:val="ListNumber"/>
      </w:pPr>
      <w:r>
        <w:t>Create metadata quorum, storage pools, fault domains, erasure coding, snapshots, namespace and quotas.</w:t>
      </w:r>
    </w:p>
    <w:p>
      <w:pPr>
        <w:pStyle w:val="ListNumber"/>
      </w:pPr>
      <w:r>
        <w:t>Integrate MFA, KMS/HSM, tenant keys, obfuscation policies, immutable logs and SIEM.</w:t>
      </w:r>
    </w:p>
    <w:p>
      <w:pPr>
        <w:pStyle w:val="ListNumber"/>
      </w:pPr>
      <w:r>
        <w:t>Configure approved cloud endpoints, short-lived credentials, encryption, object lock and transfer-policy controls.</w:t>
      </w:r>
    </w:p>
    <w:p>
      <w:pPr>
        <w:pStyle w:val="ListNumber"/>
      </w:pPr>
      <w:r>
        <w:t>Execute hardware, performance, security, resilience and thermal acceptance tests before production release.</w:t>
      </w:r>
    </w:p>
    <w:p>
      <w:pPr>
        <w:pStyle w:val="Heading1"/>
        <w:keepNext/>
        <w:spacing w:before="200" w:after="80"/>
      </w:pPr>
      <w:r>
        <w:t>15. Performance Architecture: 10.2+ TB/s and 300 Million IOPS</w:t>
      </w:r>
    </w:p>
    <w:p>
      <w:pPr>
        <w:spacing w:after="80" w:line="247" w:lineRule="auto"/>
      </w:pPr>
      <w:r>
        <w:t>The performance figures are feasible as separate rack-level benchmark targets, but they must be tied to exact workload definitions. The throughput target should use large parallel transfers; the IOPS target should use 4 KB random reads with sufficient clients and queue depth. They should not be represented as simultaneously sustainable unless a mixed-workload test demonstrates that result.</w:t>
      </w:r>
    </w:p>
    <w:p>
      <w:pPr>
        <w:pStyle w:val="Heading2"/>
        <w:keepNext/>
        <w:spacing w:before="200" w:after="80"/>
      </w:pPr>
      <w:r>
        <w:t>15.1 Maximum-Performance Reference Configuration</w:t>
      </w:r>
    </w:p>
    <w:tbl>
      <w:tblPr>
        <w:tblStyle w:val="TableGrid"/>
        <w:tblW w:type="auto" w:w="0"/>
        <w:jc w:val="center"/>
        <w:tblLook w:firstColumn="1" w:firstRow="1" w:lastColumn="0" w:lastRow="0" w:noHBand="0" w:noVBand="1" w:val="04A0"/>
      </w:tblPr>
      <w:tblGrid>
        <w:gridCol w:w="5083"/>
        <w:gridCol w:w="5083"/>
      </w:tblGrid>
      <w:tr>
        <w:tc>
          <w:tcPr>
            <w:tcW w:type="dxa" w:w="3168"/>
            <w:vAlign w:val="center"/>
            <w:shd w:fill="1F4E78"/>
          </w:tcPr>
          <w:p>
            <w:r/>
            <w:r>
              <w:rPr>
                <w:b/>
                <w:color w:val="FFFFFF"/>
                <w:sz w:val="17"/>
              </w:rPr>
              <w:t>Component</w:t>
            </w:r>
          </w:p>
        </w:tc>
        <w:tc>
          <w:tcPr>
            <w:tcW w:type="dxa" w:w="6480"/>
            <w:vAlign w:val="center"/>
            <w:shd w:fill="1F4E78"/>
          </w:tcPr>
          <w:p>
            <w:r/>
            <w:r>
              <w:rPr>
                <w:b/>
                <w:color w:val="FFFFFF"/>
                <w:sz w:val="17"/>
              </w:rPr>
              <w:t>Maximum-performance model</w:t>
            </w:r>
          </w:p>
        </w:tc>
      </w:tr>
      <w:tr>
        <w:tc>
          <w:tcPr>
            <w:tcW w:type="dxa" w:w="3168"/>
            <w:vAlign w:val="center"/>
          </w:tcPr>
          <w:p>
            <w:r/>
            <w:r>
              <w:rPr>
                <w:b w:val="0"/>
                <w:sz w:val="17"/>
              </w:rPr>
              <w:t>Performance nodes</w:t>
            </w:r>
          </w:p>
        </w:tc>
        <w:tc>
          <w:tcPr>
            <w:tcW w:type="dxa" w:w="6480"/>
            <w:vAlign w:val="center"/>
          </w:tcPr>
          <w:p>
            <w:r/>
            <w:r>
              <w:rPr>
                <w:b w:val="0"/>
                <w:sz w:val="17"/>
              </w:rPr>
              <w:t>32 x 1U nodes</w:t>
            </w:r>
          </w:p>
        </w:tc>
      </w:tr>
      <w:tr>
        <w:tc>
          <w:tcPr>
            <w:tcW w:type="dxa" w:w="3168"/>
            <w:vAlign w:val="center"/>
            <w:shd w:fill="F5F8FA"/>
          </w:tcPr>
          <w:p>
            <w:r/>
            <w:r>
              <w:rPr>
                <w:b w:val="0"/>
                <w:sz w:val="17"/>
              </w:rPr>
              <w:t>SSDs</w:t>
            </w:r>
          </w:p>
        </w:tc>
        <w:tc>
          <w:tcPr>
            <w:tcW w:type="dxa" w:w="6480"/>
            <w:vAlign w:val="center"/>
            <w:shd w:fill="F5F8FA"/>
          </w:tcPr>
          <w:p>
            <w:r/>
            <w:r>
              <w:rPr>
                <w:b w:val="0"/>
                <w:sz w:val="17"/>
              </w:rPr>
              <w:t>24 per node; 768 total enterprise NVMe SSDs</w:t>
            </w:r>
          </w:p>
        </w:tc>
      </w:tr>
      <w:tr>
        <w:tc>
          <w:tcPr>
            <w:tcW w:type="dxa" w:w="3168"/>
            <w:vAlign w:val="center"/>
          </w:tcPr>
          <w:p>
            <w:r/>
            <w:r>
              <w:rPr>
                <w:b w:val="0"/>
                <w:sz w:val="17"/>
              </w:rPr>
              <w:t>Network per node</w:t>
            </w:r>
          </w:p>
        </w:tc>
        <w:tc>
          <w:tcPr>
            <w:tcW w:type="dxa" w:w="6480"/>
            <w:vAlign w:val="center"/>
          </w:tcPr>
          <w:p>
            <w:r/>
            <w:r>
              <w:rPr>
                <w:b w:val="0"/>
                <w:sz w:val="17"/>
              </w:rPr>
              <w:t>4 x 800 GbE</w:t>
            </w:r>
          </w:p>
        </w:tc>
      </w:tr>
      <w:tr>
        <w:tc>
          <w:tcPr>
            <w:tcW w:type="dxa" w:w="3168"/>
            <w:vAlign w:val="center"/>
            <w:shd w:fill="F5F8FA"/>
          </w:tcPr>
          <w:p>
            <w:r/>
            <w:r>
              <w:rPr>
                <w:b w:val="0"/>
                <w:sz w:val="17"/>
              </w:rPr>
              <w:t>Rack network</w:t>
            </w:r>
          </w:p>
        </w:tc>
        <w:tc>
          <w:tcPr>
            <w:tcW w:type="dxa" w:w="6480"/>
            <w:vAlign w:val="center"/>
            <w:shd w:fill="F5F8FA"/>
          </w:tcPr>
          <w:p>
            <w:r/>
            <w:r>
              <w:rPr>
                <w:b w:val="0"/>
                <w:sz w:val="17"/>
              </w:rPr>
              <w:t>102.4 Tb/s raw aggregate node bandwidth</w:t>
            </w:r>
          </w:p>
        </w:tc>
      </w:tr>
      <w:tr>
        <w:tc>
          <w:tcPr>
            <w:tcW w:type="dxa" w:w="3168"/>
            <w:vAlign w:val="center"/>
          </w:tcPr>
          <w:p>
            <w:r/>
            <w:r>
              <w:rPr>
                <w:b w:val="0"/>
                <w:sz w:val="17"/>
              </w:rPr>
              <w:t>PCIe</w:t>
            </w:r>
          </w:p>
        </w:tc>
        <w:tc>
          <w:tcPr>
            <w:tcW w:type="dxa" w:w="6480"/>
            <w:vAlign w:val="center"/>
          </w:tcPr>
          <w:p>
            <w:r/>
            <w:r>
              <w:rPr>
                <w:b w:val="0"/>
                <w:sz w:val="17"/>
              </w:rPr>
              <w:t>Gen 6 target, multiple independent root complexes</w:t>
            </w:r>
          </w:p>
        </w:tc>
      </w:tr>
      <w:tr>
        <w:tc>
          <w:tcPr>
            <w:tcW w:type="dxa" w:w="3168"/>
            <w:vAlign w:val="center"/>
            <w:shd w:fill="F5F8FA"/>
          </w:tcPr>
          <w:p>
            <w:r/>
            <w:r>
              <w:rPr>
                <w:b w:val="0"/>
                <w:sz w:val="17"/>
              </w:rPr>
              <w:t>Memory</w:t>
            </w:r>
          </w:p>
        </w:tc>
        <w:tc>
          <w:tcPr>
            <w:tcW w:type="dxa" w:w="6480"/>
            <w:vAlign w:val="center"/>
            <w:shd w:fill="F5F8FA"/>
          </w:tcPr>
          <w:p>
            <w:r/>
            <w:r>
              <w:rPr>
                <w:b w:val="0"/>
                <w:sz w:val="17"/>
              </w:rPr>
              <w:t>1-2 TB ECC DDR5 per node</w:t>
            </w:r>
          </w:p>
        </w:tc>
      </w:tr>
      <w:tr>
        <w:tc>
          <w:tcPr>
            <w:tcW w:type="dxa" w:w="3168"/>
            <w:vAlign w:val="center"/>
          </w:tcPr>
          <w:p>
            <w:r/>
            <w:r>
              <w:rPr>
                <w:b w:val="0"/>
                <w:sz w:val="17"/>
              </w:rPr>
              <w:t>Metadata</w:t>
            </w:r>
          </w:p>
        </w:tc>
        <w:tc>
          <w:tcPr>
            <w:tcW w:type="dxa" w:w="6480"/>
            <w:vAlign w:val="center"/>
          </w:tcPr>
          <w:p>
            <w:r/>
            <w:r>
              <w:rPr>
                <w:b w:val="0"/>
                <w:sz w:val="17"/>
              </w:rPr>
              <w:t>3-5 dedicated quorum nodes</w:t>
            </w:r>
          </w:p>
        </w:tc>
      </w:tr>
      <w:tr>
        <w:tc>
          <w:tcPr>
            <w:tcW w:type="dxa" w:w="3168"/>
            <w:vAlign w:val="center"/>
            <w:shd w:fill="F5F8FA"/>
          </w:tcPr>
          <w:p>
            <w:r/>
            <w:r>
              <w:rPr>
                <w:b w:val="0"/>
                <w:sz w:val="17"/>
              </w:rPr>
              <w:t>Target large-block throughput</w:t>
            </w:r>
          </w:p>
        </w:tc>
        <w:tc>
          <w:tcPr>
            <w:tcW w:type="dxa" w:w="6480"/>
            <w:vAlign w:val="center"/>
            <w:shd w:fill="F5F8FA"/>
          </w:tcPr>
          <w:p>
            <w:r/>
            <w:r>
              <w:rPr>
                <w:b w:val="0"/>
                <w:sz w:val="17"/>
              </w:rPr>
              <w:t>10.2-11.5 TB/s aggregate</w:t>
            </w:r>
          </w:p>
        </w:tc>
      </w:tr>
      <w:tr>
        <w:tc>
          <w:tcPr>
            <w:tcW w:type="dxa" w:w="3168"/>
            <w:vAlign w:val="center"/>
          </w:tcPr>
          <w:p>
            <w:r/>
            <w:r>
              <w:rPr>
                <w:b w:val="0"/>
                <w:sz w:val="17"/>
              </w:rPr>
              <w:t>Target random-read performance</w:t>
            </w:r>
          </w:p>
        </w:tc>
        <w:tc>
          <w:tcPr>
            <w:tcW w:type="dxa" w:w="6480"/>
            <w:vAlign w:val="center"/>
          </w:tcPr>
          <w:p>
            <w:r/>
            <w:r>
              <w:rPr>
                <w:b w:val="0"/>
                <w:sz w:val="17"/>
              </w:rPr>
              <w:t>300-350 million 4 KB IOPS</w:t>
            </w:r>
          </w:p>
        </w:tc>
      </w:tr>
      <w:tr>
        <w:tc>
          <w:tcPr>
            <w:tcW w:type="dxa" w:w="3168"/>
            <w:vAlign w:val="center"/>
            <w:shd w:fill="F5F8FA"/>
          </w:tcPr>
          <w:p>
            <w:r/>
            <w:r>
              <w:rPr>
                <w:b w:val="0"/>
                <w:sz w:val="17"/>
              </w:rPr>
              <w:t>Estimated rack power</w:t>
            </w:r>
          </w:p>
        </w:tc>
        <w:tc>
          <w:tcPr>
            <w:tcW w:type="dxa" w:w="6480"/>
            <w:vAlign w:val="center"/>
            <w:shd w:fill="F5F8FA"/>
          </w:tcPr>
          <w:p>
            <w:r/>
            <w:r>
              <w:rPr>
                <w:b w:val="0"/>
                <w:sz w:val="17"/>
              </w:rPr>
              <w:t>Approximately 70-110 kW, subject to selected hardware</w:t>
            </w:r>
          </w:p>
        </w:tc>
      </w:tr>
      <w:tr>
        <w:tc>
          <w:tcPr>
            <w:tcW w:type="dxa" w:w="3168"/>
            <w:vAlign w:val="center"/>
          </w:tcPr>
          <w:p>
            <w:r/>
            <w:r>
              <w:rPr>
                <w:b w:val="0"/>
                <w:sz w:val="17"/>
              </w:rPr>
              <w:t>Cooling</w:t>
            </w:r>
          </w:p>
        </w:tc>
        <w:tc>
          <w:tcPr>
            <w:tcW w:type="dxa" w:w="6480"/>
            <w:vAlign w:val="center"/>
          </w:tcPr>
          <w:p>
            <w:r/>
            <w:r>
              <w:rPr>
                <w:b w:val="0"/>
                <w:sz w:val="17"/>
              </w:rPr>
              <w:t>Direct-to-chip plus rear-door heat exchanger and cabinet thermal jacket</w:t>
            </w:r>
          </w:p>
        </w:tc>
      </w:tr>
    </w:tbl>
    <w:p>
      <w:pPr>
        <w:spacing w:after="80" w:line="247" w:lineRule="auto"/>
      </w:pPr>
    </w:p>
    <w:p>
      <w:pPr>
        <w:pStyle w:val="Heading2"/>
        <w:keepNext/>
        <w:spacing w:before="200" w:after="80"/>
      </w:pPr>
      <w:r>
        <w:t>15.2 Throughput Model</w:t>
      </w:r>
    </w:p>
    <w:p>
      <w:pPr>
        <w:spacing w:before="80" w:after="80" w:line="247" w:lineRule="auto"/>
        <w:ind w:left="504" w:right="504"/>
        <w:shd w:fill="F2F4F7"/>
      </w:pPr>
      <w:r>
        <w:rPr>
          <w:rFonts w:ascii="Consolas" w:hAnsi="Consolas"/>
          <w:sz w:val="17"/>
        </w:rPr>
        <w:t>10.2 TB/s x 8 = 81.6 Tb/s required usable bandwidth</w:t>
        <w:br/>
      </w:r>
      <w:r>
        <w:rPr>
          <w:rFonts w:ascii="Consolas" w:hAnsi="Consolas"/>
          <w:sz w:val="17"/>
        </w:rPr>
        <w:t>32 nodes x 4 interfaces x 800 Gb/s = 102.4 Tb/s raw = 12.8 TB/s raw</w:t>
        <w:br/>
      </w:r>
      <w:r>
        <w:rPr>
          <w:rFonts w:ascii="Consolas" w:hAnsi="Consolas"/>
          <w:sz w:val="17"/>
        </w:rPr>
        <w:t>12.8 TB/s x 80% end-to-end efficiency = 10.24 TB/s usable</w:t>
      </w:r>
    </w:p>
    <w:p>
      <w:pPr>
        <w:spacing w:after="80" w:line="247" w:lineRule="auto"/>
      </w:pPr>
      <w:r>
        <w:t>The 80% efficiency assumption must be replaced by measured protocol, encoding, packet, filesystem, erasure-code and client overhead during qualification. A nonblocking dual-fabric design and enough client-side bandwidth are mandatory.</w:t>
      </w:r>
    </w:p>
    <w:p>
      <w:pPr>
        <w:pStyle w:val="Heading2"/>
        <w:keepNext/>
        <w:spacing w:before="200" w:after="80"/>
      </w:pPr>
      <w:r>
        <w:t>15.3 IOPS Model</w:t>
      </w:r>
    </w:p>
    <w:p>
      <w:pPr>
        <w:spacing w:before="80" w:after="80" w:line="247" w:lineRule="auto"/>
        <w:ind w:left="504" w:right="504"/>
        <w:shd w:fill="F2F4F7"/>
      </w:pPr>
      <w:r>
        <w:rPr>
          <w:rFonts w:ascii="Consolas" w:hAnsi="Consolas"/>
          <w:sz w:val="17"/>
        </w:rPr>
        <w:t>300,000,000 IOPS ÷ 32 nodes = 9.375 million IOPS per node</w:t>
        <w:br/>
      </w:r>
      <w:r>
        <w:rPr>
          <w:rFonts w:ascii="Consolas" w:hAnsi="Consolas"/>
          <w:sz w:val="17"/>
        </w:rPr>
        <w:t>9.375 million IOPS ÷ 24 SSDs = approximately 391,000 IOPS per SSD</w:t>
      </w:r>
    </w:p>
    <w:p>
      <w:pPr>
        <w:spacing w:after="80" w:line="247" w:lineRule="auto"/>
      </w:pPr>
      <w:r>
        <w:t>The drive-level requirement is within the capability range of modern enterprise NVMe media. The harder constraint is sustaining those operations through software, CPU scheduling, metadata, PCIe, encryption, network queues and protection logic.</w:t>
      </w:r>
    </w:p>
    <w:tbl>
      <w:tblPr>
        <w:tblStyle w:val="TableGrid"/>
        <w:tblW w:type="auto" w:w="0"/>
        <w:jc w:val="center"/>
        <w:tblLook w:firstColumn="1" w:firstRow="1" w:lastColumn="0" w:lastRow="0" w:noHBand="0" w:noVBand="1" w:val="04A0"/>
      </w:tblPr>
      <w:tblGrid>
        <w:gridCol w:w="5083"/>
        <w:gridCol w:w="5083"/>
      </w:tblGrid>
      <w:tr>
        <w:tc>
          <w:tcPr>
            <w:tcW w:type="dxa" w:w="3168"/>
            <w:vAlign w:val="center"/>
            <w:shd w:fill="1F4E78"/>
          </w:tcPr>
          <w:p>
            <w:r/>
            <w:r>
              <w:rPr>
                <w:b/>
                <w:color w:val="FFFFFF"/>
                <w:sz w:val="17"/>
              </w:rPr>
              <w:t>I/O size</w:t>
            </w:r>
          </w:p>
        </w:tc>
        <w:tc>
          <w:tcPr>
            <w:tcW w:type="dxa" w:w="6480"/>
            <w:vAlign w:val="center"/>
            <w:shd w:fill="1F4E78"/>
          </w:tcPr>
          <w:p>
            <w:r/>
            <w:r>
              <w:rPr>
                <w:b/>
                <w:color w:val="FFFFFF"/>
                <w:sz w:val="17"/>
              </w:rPr>
              <w:t>Bandwidth represented by 300M IOPS</w:t>
            </w:r>
          </w:p>
        </w:tc>
      </w:tr>
      <w:tr>
        <w:tc>
          <w:tcPr>
            <w:tcW w:type="dxa" w:w="3168"/>
            <w:vAlign w:val="center"/>
          </w:tcPr>
          <w:p>
            <w:r/>
            <w:r>
              <w:rPr>
                <w:b w:val="0"/>
                <w:sz w:val="17"/>
              </w:rPr>
              <w:t>4 KB</w:t>
            </w:r>
          </w:p>
        </w:tc>
        <w:tc>
          <w:tcPr>
            <w:tcW w:type="dxa" w:w="6480"/>
            <w:vAlign w:val="center"/>
          </w:tcPr>
          <w:p>
            <w:r/>
            <w:r>
              <w:rPr>
                <w:b w:val="0"/>
                <w:sz w:val="17"/>
              </w:rPr>
              <w:t>Approximately 1.23 TB/s</w:t>
            </w:r>
          </w:p>
        </w:tc>
      </w:tr>
      <w:tr>
        <w:tc>
          <w:tcPr>
            <w:tcW w:type="dxa" w:w="3168"/>
            <w:vAlign w:val="center"/>
            <w:shd w:fill="F5F8FA"/>
          </w:tcPr>
          <w:p>
            <w:r/>
            <w:r>
              <w:rPr>
                <w:b w:val="0"/>
                <w:sz w:val="17"/>
              </w:rPr>
              <w:t>8 KB</w:t>
            </w:r>
          </w:p>
        </w:tc>
        <w:tc>
          <w:tcPr>
            <w:tcW w:type="dxa" w:w="6480"/>
            <w:vAlign w:val="center"/>
            <w:shd w:fill="F5F8FA"/>
          </w:tcPr>
          <w:p>
            <w:r/>
            <w:r>
              <w:rPr>
                <w:b w:val="0"/>
                <w:sz w:val="17"/>
              </w:rPr>
              <w:t>Approximately 2.46 TB/s</w:t>
            </w:r>
          </w:p>
        </w:tc>
      </w:tr>
      <w:tr>
        <w:tc>
          <w:tcPr>
            <w:tcW w:type="dxa" w:w="3168"/>
            <w:vAlign w:val="center"/>
          </w:tcPr>
          <w:p>
            <w:r/>
            <w:r>
              <w:rPr>
                <w:b w:val="0"/>
                <w:sz w:val="17"/>
              </w:rPr>
              <w:t>16 KB</w:t>
            </w:r>
          </w:p>
        </w:tc>
        <w:tc>
          <w:tcPr>
            <w:tcW w:type="dxa" w:w="6480"/>
            <w:vAlign w:val="center"/>
          </w:tcPr>
          <w:p>
            <w:r/>
            <w:r>
              <w:rPr>
                <w:b w:val="0"/>
                <w:sz w:val="17"/>
              </w:rPr>
              <w:t>Approximately 4.92 TB/s</w:t>
            </w:r>
          </w:p>
        </w:tc>
      </w:tr>
      <w:tr>
        <w:tc>
          <w:tcPr>
            <w:tcW w:type="dxa" w:w="3168"/>
            <w:vAlign w:val="center"/>
            <w:shd w:fill="F5F8FA"/>
          </w:tcPr>
          <w:p>
            <w:r/>
            <w:r>
              <w:rPr>
                <w:b w:val="0"/>
                <w:sz w:val="17"/>
              </w:rPr>
              <w:t>32 KB</w:t>
            </w:r>
          </w:p>
        </w:tc>
        <w:tc>
          <w:tcPr>
            <w:tcW w:type="dxa" w:w="6480"/>
            <w:vAlign w:val="center"/>
            <w:shd w:fill="F5F8FA"/>
          </w:tcPr>
          <w:p>
            <w:r/>
            <w:r>
              <w:rPr>
                <w:b w:val="0"/>
                <w:sz w:val="17"/>
              </w:rPr>
              <w:t>Approximately 9.83 TB/s</w:t>
            </w:r>
          </w:p>
        </w:tc>
      </w:tr>
      <w:tr>
        <w:tc>
          <w:tcPr>
            <w:tcW w:type="dxa" w:w="3168"/>
            <w:vAlign w:val="center"/>
          </w:tcPr>
          <w:p>
            <w:r/>
            <w:r>
              <w:rPr>
                <w:b w:val="0"/>
                <w:sz w:val="17"/>
              </w:rPr>
              <w:t>64 KB</w:t>
            </w:r>
          </w:p>
        </w:tc>
        <w:tc>
          <w:tcPr>
            <w:tcW w:type="dxa" w:w="6480"/>
            <w:vAlign w:val="center"/>
          </w:tcPr>
          <w:p>
            <w:r/>
            <w:r>
              <w:rPr>
                <w:b w:val="0"/>
                <w:sz w:val="17"/>
              </w:rPr>
              <w:t>Approximately 19.66 TB/s</w:t>
            </w:r>
          </w:p>
        </w:tc>
      </w:tr>
    </w:tbl>
    <w:p>
      <w:pPr>
        <w:spacing w:after="80" w:line="247" w:lineRule="auto"/>
      </w:pPr>
    </w:p>
    <w:p>
      <w:pPr>
        <w:pStyle w:val="Heading2"/>
        <w:keepNext/>
        <w:spacing w:before="200" w:after="80"/>
      </w:pPr>
      <w:r>
        <w:t>15.4 Required Optimizations</w:t>
      </w:r>
    </w:p>
    <w:p>
      <w:pPr>
        <w:pStyle w:val="ListBullet"/>
      </w:pPr>
      <w:r>
        <w:t>User-space or kernel-bypass I/O, NVMe multiqueue, RDMA/RoCEv2 and zero-copy transfer.</w:t>
      </w:r>
    </w:p>
    <w:p>
      <w:pPr>
        <w:pStyle w:val="ListBullet"/>
      </w:pPr>
      <w:r>
        <w:t>GPUDirect Storage where supported, NUMA-aware queue assignment and CPU affinity.</w:t>
      </w:r>
    </w:p>
    <w:p>
      <w:pPr>
        <w:pStyle w:val="ListBullet"/>
      </w:pPr>
      <w:r>
        <w:t>Distributed metadata sharding, in-memory metadata cache and low-contention namespace operations.</w:t>
      </w:r>
    </w:p>
    <w:p>
      <w:pPr>
        <w:pStyle w:val="ListBullet"/>
      </w:pPr>
      <w:r>
        <w:t>Vectorized erasure coding and hardware-accelerated encryption.</w:t>
      </w:r>
    </w:p>
    <w:p>
      <w:pPr>
        <w:pStyle w:val="ListBullet"/>
      </w:pPr>
      <w:r>
        <w:t>No synchronous cloud transfer, obfuscation workflow or deep audit processing in the critical data path.</w:t>
      </w:r>
    </w:p>
    <w:p>
      <w:pPr>
        <w:pStyle w:val="ListBullet"/>
      </w:pPr>
      <w:r>
        <w:t>Large client fan-out with calibrated queue depth, block size and parallel stream count.</w:t>
      </w:r>
    </w:p>
    <w:p>
      <w:pPr>
        <w:pStyle w:val="ListBullet"/>
      </w:pPr>
      <w:r>
        <w:t>Continuous thermal monitoring to prevent CPU, NIC or SSD throttling.</w:t>
      </w:r>
    </w:p>
    <w:p>
      <w:pPr>
        <w:pStyle w:val="Heading2"/>
        <w:keepNext/>
        <w:spacing w:before="200" w:after="80"/>
      </w:pPr>
      <w:r>
        <w:t>15.5 Publishable Performance Statement</w:t>
      </w:r>
    </w:p>
    <w:p>
      <w:pPr>
        <w:spacing w:after="80" w:line="247" w:lineRule="auto"/>
        <w:ind w:left="432" w:right="432"/>
      </w:pPr>
      <w:r>
        <w:rPr>
          <w:b/>
          <w:color w:val="17324D"/>
        </w:rPr>
        <w:t>Up to 10.2+ TB/s aggregate large-block throughput and 300 million 4 KB random-read IOPS per fully populated rack, subject to configuration, client count, queue depth, protection policy and validated workload conditions.</w:t>
      </w:r>
    </w:p>
    <w:p>
      <w:pPr>
        <w:pStyle w:val="Heading1"/>
        <w:keepNext/>
        <w:spacing w:before="200" w:after="80"/>
      </w:pPr>
      <w:r>
        <w:t>16. Qualification, Acceptance and Release Gates</w:t>
      </w:r>
    </w:p>
    <w:p>
      <w:pPr>
        <w:pStyle w:val="Heading2"/>
        <w:keepNext/>
        <w:spacing w:before="200" w:after="80"/>
      </w:pPr>
      <w:r>
        <w:t>16.1 Factory and Site Acceptance Tests</w:t>
      </w:r>
    </w:p>
    <w:tbl>
      <w:tblPr>
        <w:tblStyle w:val="TableGrid"/>
        <w:tblW w:type="auto" w:w="0"/>
        <w:jc w:val="center"/>
        <w:tblLook w:firstColumn="1" w:firstRow="1" w:lastColumn="0" w:lastRow="0" w:noHBand="0" w:noVBand="1" w:val="04A0"/>
      </w:tblPr>
      <w:tblGrid>
        <w:gridCol w:w="5083"/>
        <w:gridCol w:w="5083"/>
      </w:tblGrid>
      <w:tr>
        <w:tc>
          <w:tcPr>
            <w:tcW w:type="dxa" w:w="2160"/>
            <w:vAlign w:val="center"/>
            <w:shd w:fill="1F4E78"/>
          </w:tcPr>
          <w:p>
            <w:r/>
            <w:r>
              <w:rPr>
                <w:b/>
                <w:color w:val="FFFFFF"/>
                <w:sz w:val="17"/>
              </w:rPr>
              <w:t>Domain</w:t>
            </w:r>
          </w:p>
        </w:tc>
        <w:tc>
          <w:tcPr>
            <w:tcW w:type="dxa" w:w="7488"/>
            <w:vAlign w:val="center"/>
            <w:shd w:fill="1F4E78"/>
          </w:tcPr>
          <w:p>
            <w:r/>
            <w:r>
              <w:rPr>
                <w:b/>
                <w:color w:val="FFFFFF"/>
                <w:sz w:val="17"/>
              </w:rPr>
              <w:t>Required tests</w:t>
            </w:r>
          </w:p>
        </w:tc>
      </w:tr>
      <w:tr>
        <w:tc>
          <w:tcPr>
            <w:tcW w:type="dxa" w:w="2160"/>
            <w:vAlign w:val="center"/>
          </w:tcPr>
          <w:p>
            <w:r/>
            <w:r>
              <w:rPr>
                <w:b w:val="0"/>
                <w:sz w:val="17"/>
              </w:rPr>
              <w:t>Hardware</w:t>
            </w:r>
          </w:p>
        </w:tc>
        <w:tc>
          <w:tcPr>
            <w:tcW w:type="dxa" w:w="7488"/>
            <w:vAlign w:val="center"/>
          </w:tcPr>
          <w:p>
            <w:r/>
            <w:r>
              <w:rPr>
                <w:b w:val="0"/>
                <w:sz w:val="17"/>
              </w:rPr>
              <w:t>Memory/CPU stress, SSD endurance and power-loss, PCIe width/speed, NIC bandwidth, hot-swap, firmware and sensor validation</w:t>
            </w:r>
          </w:p>
        </w:tc>
      </w:tr>
      <w:tr>
        <w:tc>
          <w:tcPr>
            <w:tcW w:type="dxa" w:w="2160"/>
            <w:vAlign w:val="center"/>
            <w:shd w:fill="F5F8FA"/>
          </w:tcPr>
          <w:p>
            <w:r/>
            <w:r>
              <w:rPr>
                <w:b w:val="0"/>
                <w:sz w:val="17"/>
              </w:rPr>
              <w:t>Performance</w:t>
            </w:r>
          </w:p>
        </w:tc>
        <w:tc>
          <w:tcPr>
            <w:tcW w:type="dxa" w:w="7488"/>
            <w:vAlign w:val="center"/>
            <w:shd w:fill="F5F8FA"/>
          </w:tcPr>
          <w:p>
            <w:r/>
            <w:r>
              <w:rPr>
                <w:b w:val="0"/>
                <w:sz w:val="17"/>
              </w:rPr>
              <w:t>Sequential and random workloads, metadata, small/large files, POSIX/NFS/S3, checkpoint, GPU direct, cloud archive/recall and degraded-mode tests</w:t>
            </w:r>
          </w:p>
        </w:tc>
      </w:tr>
      <w:tr>
        <w:tc>
          <w:tcPr>
            <w:tcW w:type="dxa" w:w="2160"/>
            <w:vAlign w:val="center"/>
          </w:tcPr>
          <w:p>
            <w:r/>
            <w:r>
              <w:rPr>
                <w:b w:val="0"/>
                <w:sz w:val="17"/>
              </w:rPr>
              <w:t>Resilience</w:t>
            </w:r>
          </w:p>
        </w:tc>
        <w:tc>
          <w:tcPr>
            <w:tcW w:type="dxa" w:w="7488"/>
            <w:vAlign w:val="center"/>
          </w:tcPr>
          <w:p>
            <w:r/>
            <w:r>
              <w:rPr>
                <w:b w:val="0"/>
                <w:sz w:val="17"/>
              </w:rPr>
              <w:t>A/B power loss, switch/NIC/node/SSD/gateway failures, quorum, cooling alarm, controlled shutdown and restart</w:t>
            </w:r>
          </w:p>
        </w:tc>
      </w:tr>
      <w:tr>
        <w:tc>
          <w:tcPr>
            <w:tcW w:type="dxa" w:w="2160"/>
            <w:vAlign w:val="center"/>
            <w:shd w:fill="F5F8FA"/>
          </w:tcPr>
          <w:p>
            <w:r/>
            <w:r>
              <w:rPr>
                <w:b w:val="0"/>
                <w:sz w:val="17"/>
              </w:rPr>
              <w:t>Security</w:t>
            </w:r>
          </w:p>
        </w:tc>
        <w:tc>
          <w:tcPr>
            <w:tcW w:type="dxa" w:w="7488"/>
            <w:vAlign w:val="center"/>
            <w:shd w:fill="F5F8FA"/>
          </w:tcPr>
          <w:p>
            <w:r/>
            <w:r>
              <w:rPr>
                <w:b w:val="0"/>
                <w:sz w:val="17"/>
              </w:rPr>
              <w:t>MFA, unauthorized access, masking, tokenization, key rotation, drive-removal attack, cloud-region policy and immutable-audit tests</w:t>
            </w:r>
          </w:p>
        </w:tc>
      </w:tr>
      <w:tr>
        <w:tc>
          <w:tcPr>
            <w:tcW w:type="dxa" w:w="2160"/>
            <w:vAlign w:val="center"/>
          </w:tcPr>
          <w:p>
            <w:r/>
            <w:r>
              <w:rPr>
                <w:b w:val="0"/>
                <w:sz w:val="17"/>
              </w:rPr>
              <w:t>Thermal</w:t>
            </w:r>
          </w:p>
        </w:tc>
        <w:tc>
          <w:tcPr>
            <w:tcW w:type="dxa" w:w="7488"/>
            <w:vAlign w:val="center"/>
          </w:tcPr>
          <w:p>
            <w:r/>
            <w:r>
              <w:rPr>
                <w:b w:val="0"/>
                <w:sz w:val="17"/>
              </w:rPr>
              <w:t>Maximum sustained load, fan failure, coolant branch isolation, leak response, dew-point control and throttling analysis</w:t>
            </w:r>
          </w:p>
        </w:tc>
      </w:tr>
    </w:tbl>
    <w:p>
      <w:pPr>
        <w:spacing w:after="80" w:line="247" w:lineRule="auto"/>
      </w:pPr>
    </w:p>
    <w:p>
      <w:pPr>
        <w:pStyle w:val="Heading2"/>
        <w:keepNext/>
        <w:spacing w:before="200" w:after="80"/>
      </w:pPr>
      <w:r>
        <w:t>16.2 Minimum Acceptance Criteria</w:t>
      </w:r>
    </w:p>
    <w:tbl>
      <w:tblPr>
        <w:tblStyle w:val="TableGrid"/>
        <w:tblW w:type="auto" w:w="0"/>
        <w:jc w:val="center"/>
        <w:tblLook w:firstColumn="1" w:firstRow="1" w:lastColumn="0" w:lastRow="0" w:noHBand="0" w:noVBand="1" w:val="04A0"/>
      </w:tblPr>
      <w:tblGrid>
        <w:gridCol w:w="5083"/>
        <w:gridCol w:w="5083"/>
      </w:tblGrid>
      <w:tr>
        <w:tc>
          <w:tcPr>
            <w:tcW w:type="dxa" w:w="2592"/>
            <w:vAlign w:val="center"/>
            <w:shd w:fill="1F4E78"/>
          </w:tcPr>
          <w:p>
            <w:r/>
            <w:r>
              <w:rPr>
                <w:b/>
                <w:color w:val="FFFFFF"/>
                <w:sz w:val="17"/>
              </w:rPr>
              <w:t>Area</w:t>
            </w:r>
          </w:p>
        </w:tc>
        <w:tc>
          <w:tcPr>
            <w:tcW w:type="dxa" w:w="7056"/>
            <w:vAlign w:val="center"/>
            <w:shd w:fill="1F4E78"/>
          </w:tcPr>
          <w:p>
            <w:r/>
            <w:r>
              <w:rPr>
                <w:b/>
                <w:color w:val="FFFFFF"/>
                <w:sz w:val="17"/>
              </w:rPr>
              <w:t>Criterion</w:t>
            </w:r>
          </w:p>
        </w:tc>
      </w:tr>
      <w:tr>
        <w:tc>
          <w:tcPr>
            <w:tcW w:type="dxa" w:w="2592"/>
            <w:vAlign w:val="center"/>
          </w:tcPr>
          <w:p>
            <w:r/>
            <w:r>
              <w:rPr>
                <w:b w:val="0"/>
                <w:sz w:val="17"/>
              </w:rPr>
              <w:t>Availability</w:t>
            </w:r>
          </w:p>
        </w:tc>
        <w:tc>
          <w:tcPr>
            <w:tcW w:type="dxa" w:w="7056"/>
            <w:vAlign w:val="center"/>
          </w:tcPr>
          <w:p>
            <w:r/>
            <w:r>
              <w:rPr>
                <w:b w:val="0"/>
                <w:sz w:val="17"/>
              </w:rPr>
              <w:t>No service loss from any single component failure</w:t>
            </w:r>
          </w:p>
        </w:tc>
      </w:tr>
      <w:tr>
        <w:tc>
          <w:tcPr>
            <w:tcW w:type="dxa" w:w="2592"/>
            <w:vAlign w:val="center"/>
            <w:shd w:fill="F5F8FA"/>
          </w:tcPr>
          <w:p>
            <w:r/>
            <w:r>
              <w:rPr>
                <w:b w:val="0"/>
                <w:sz w:val="17"/>
              </w:rPr>
              <w:t>Network</w:t>
            </w:r>
          </w:p>
        </w:tc>
        <w:tc>
          <w:tcPr>
            <w:tcW w:type="dxa" w:w="7056"/>
            <w:vAlign w:val="center"/>
            <w:shd w:fill="F5F8FA"/>
          </w:tcPr>
          <w:p>
            <w:r/>
            <w:r>
              <w:rPr>
                <w:b w:val="0"/>
                <w:sz w:val="17"/>
              </w:rPr>
              <w:t>Full operation after loss of either storage fabric</w:t>
            </w:r>
          </w:p>
        </w:tc>
      </w:tr>
      <w:tr>
        <w:tc>
          <w:tcPr>
            <w:tcW w:type="dxa" w:w="2592"/>
            <w:vAlign w:val="center"/>
          </w:tcPr>
          <w:p>
            <w:r/>
            <w:r>
              <w:rPr>
                <w:b w:val="0"/>
                <w:sz w:val="17"/>
              </w:rPr>
              <w:t>Power</w:t>
            </w:r>
          </w:p>
        </w:tc>
        <w:tc>
          <w:tcPr>
            <w:tcW w:type="dxa" w:w="7056"/>
            <w:vAlign w:val="center"/>
          </w:tcPr>
          <w:p>
            <w:r/>
            <w:r>
              <w:rPr>
                <w:b w:val="0"/>
                <w:sz w:val="17"/>
              </w:rPr>
              <w:t>Full operation after loss of either A or B power feed</w:t>
            </w:r>
          </w:p>
        </w:tc>
      </w:tr>
      <w:tr>
        <w:tc>
          <w:tcPr>
            <w:tcW w:type="dxa" w:w="2592"/>
            <w:vAlign w:val="center"/>
            <w:shd w:fill="F5F8FA"/>
          </w:tcPr>
          <w:p>
            <w:r/>
            <w:r>
              <w:rPr>
                <w:b w:val="0"/>
                <w:sz w:val="17"/>
              </w:rPr>
              <w:t>Metadata</w:t>
            </w:r>
          </w:p>
        </w:tc>
        <w:tc>
          <w:tcPr>
            <w:tcW w:type="dxa" w:w="7056"/>
            <w:vAlign w:val="center"/>
            <w:shd w:fill="F5F8FA"/>
          </w:tcPr>
          <w:p>
            <w:r/>
            <w:r>
              <w:rPr>
                <w:b w:val="0"/>
                <w:sz w:val="17"/>
              </w:rPr>
              <w:t>Quorum remains available after one control-node failure</w:t>
            </w:r>
          </w:p>
        </w:tc>
      </w:tr>
      <w:tr>
        <w:tc>
          <w:tcPr>
            <w:tcW w:type="dxa" w:w="2592"/>
            <w:vAlign w:val="center"/>
          </w:tcPr>
          <w:p>
            <w:r/>
            <w:r>
              <w:rPr>
                <w:b w:val="0"/>
                <w:sz w:val="17"/>
              </w:rPr>
              <w:t>Security</w:t>
            </w:r>
          </w:p>
        </w:tc>
        <w:tc>
          <w:tcPr>
            <w:tcW w:type="dxa" w:w="7056"/>
            <w:vAlign w:val="center"/>
          </w:tcPr>
          <w:p>
            <w:r/>
            <w:r>
              <w:rPr>
                <w:b w:val="0"/>
                <w:sz w:val="17"/>
              </w:rPr>
              <w:t>All persistent user data encrypted; MFA required for privileged access</w:t>
            </w:r>
          </w:p>
        </w:tc>
      </w:tr>
      <w:tr>
        <w:tc>
          <w:tcPr>
            <w:tcW w:type="dxa" w:w="2592"/>
            <w:vAlign w:val="center"/>
            <w:shd w:fill="F5F8FA"/>
          </w:tcPr>
          <w:p>
            <w:r/>
            <w:r>
              <w:rPr>
                <w:b w:val="0"/>
                <w:sz w:val="17"/>
              </w:rPr>
              <w:t>Obfuscation</w:t>
            </w:r>
          </w:p>
        </w:tc>
        <w:tc>
          <w:tcPr>
            <w:tcW w:type="dxa" w:w="7056"/>
            <w:vAlign w:val="center"/>
            <w:shd w:fill="F5F8FA"/>
          </w:tcPr>
          <w:p>
            <w:r/>
            <w:r>
              <w:rPr>
                <w:b w:val="0"/>
                <w:sz w:val="17"/>
              </w:rPr>
              <w:t>Restricted data transformed according to policy and purpose</w:t>
            </w:r>
          </w:p>
        </w:tc>
      </w:tr>
      <w:tr>
        <w:tc>
          <w:tcPr>
            <w:tcW w:type="dxa" w:w="2592"/>
            <w:vAlign w:val="center"/>
          </w:tcPr>
          <w:p>
            <w:r/>
            <w:r>
              <w:rPr>
                <w:b w:val="0"/>
                <w:sz w:val="17"/>
              </w:rPr>
              <w:t>Cloud</w:t>
            </w:r>
          </w:p>
        </w:tc>
        <w:tc>
          <w:tcPr>
            <w:tcW w:type="dxa" w:w="7056"/>
            <w:vAlign w:val="center"/>
          </w:tcPr>
          <w:p>
            <w:r/>
            <w:r>
              <w:rPr>
                <w:b w:val="0"/>
                <w:sz w:val="17"/>
              </w:rPr>
              <w:t>No data moves to an unapproved bucket, tenant or region</w:t>
            </w:r>
          </w:p>
        </w:tc>
      </w:tr>
      <w:tr>
        <w:tc>
          <w:tcPr>
            <w:tcW w:type="dxa" w:w="2592"/>
            <w:vAlign w:val="center"/>
            <w:shd w:fill="F5F8FA"/>
          </w:tcPr>
          <w:p>
            <w:r/>
            <w:r>
              <w:rPr>
                <w:b w:val="0"/>
                <w:sz w:val="17"/>
              </w:rPr>
              <w:t>Upgrade</w:t>
            </w:r>
          </w:p>
        </w:tc>
        <w:tc>
          <w:tcPr>
            <w:tcW w:type="dxa" w:w="7056"/>
            <w:vAlign w:val="center"/>
            <w:shd w:fill="F5F8FA"/>
          </w:tcPr>
          <w:p>
            <w:r/>
            <w:r>
              <w:rPr>
                <w:b w:val="0"/>
                <w:sz w:val="17"/>
              </w:rPr>
              <w:t>Rolling software and firmware upgrade without namespace outage</w:t>
            </w:r>
          </w:p>
        </w:tc>
      </w:tr>
      <w:tr>
        <w:tc>
          <w:tcPr>
            <w:tcW w:type="dxa" w:w="2592"/>
            <w:vAlign w:val="center"/>
          </w:tcPr>
          <w:p>
            <w:r/>
            <w:r>
              <w:rPr>
                <w:b w:val="0"/>
                <w:sz w:val="17"/>
              </w:rPr>
              <w:t>Thermal</w:t>
            </w:r>
          </w:p>
        </w:tc>
        <w:tc>
          <w:tcPr>
            <w:tcW w:type="dxa" w:w="7056"/>
            <w:vAlign w:val="center"/>
          </w:tcPr>
          <w:p>
            <w:r/>
            <w:r>
              <w:rPr>
                <w:b w:val="0"/>
                <w:sz w:val="17"/>
              </w:rPr>
              <w:t>No sustained CPU, NIC or SSD throttling under accepted workload</w:t>
            </w:r>
          </w:p>
        </w:tc>
      </w:tr>
      <w:tr>
        <w:tc>
          <w:tcPr>
            <w:tcW w:type="dxa" w:w="2592"/>
            <w:vAlign w:val="center"/>
            <w:shd w:fill="F5F8FA"/>
          </w:tcPr>
          <w:p>
            <w:r/>
            <w:r>
              <w:rPr>
                <w:b w:val="0"/>
                <w:sz w:val="17"/>
              </w:rPr>
              <w:t>Performance</w:t>
            </w:r>
          </w:p>
        </w:tc>
        <w:tc>
          <w:tcPr>
            <w:tcW w:type="dxa" w:w="7056"/>
            <w:vAlign w:val="center"/>
            <w:shd w:fill="F5F8FA"/>
          </w:tcPr>
          <w:p>
            <w:r/>
            <w:r>
              <w:rPr>
                <w:b w:val="0"/>
                <w:sz w:val="17"/>
              </w:rPr>
              <w:t>Meets contracted benchmark with documented block size, clients, queue depth and protection settings</w:t>
            </w:r>
          </w:p>
        </w:tc>
      </w:tr>
    </w:tbl>
    <w:p>
      <w:pPr>
        <w:spacing w:after="80" w:line="247" w:lineRule="auto"/>
      </w:pPr>
    </w:p>
    <w:p>
      <w:pPr>
        <w:pStyle w:val="Heading2"/>
        <w:keepNext/>
        <w:spacing w:before="200" w:after="80"/>
      </w:pPr>
      <w:r>
        <w:t>16.3 Open Engineering Decisions</w:t>
      </w:r>
    </w:p>
    <w:p>
      <w:pPr>
        <w:pStyle w:val="ListBullet"/>
      </w:pPr>
      <w:r>
        <w:t>Final SSD make, model, capacity, endurance and TLC/QLC ratio.</w:t>
      </w:r>
    </w:p>
    <w:p>
      <w:pPr>
        <w:pStyle w:val="ListBullet"/>
      </w:pPr>
      <w:r>
        <w:t>Node count, chassis form factor and exact PCIe lane/root-complex map.</w:t>
      </w:r>
    </w:p>
    <w:p>
      <w:pPr>
        <w:pStyle w:val="ListBullet"/>
      </w:pPr>
      <w:r>
        <w:t>400 versus 800 GbE production baseline and optical technology.</w:t>
      </w:r>
    </w:p>
    <w:p>
      <w:pPr>
        <w:pStyle w:val="ListBullet"/>
      </w:pPr>
      <w:r>
        <w:t>Air, rear-door, direct-to-chip and cabinet-jacket cooling mix.</w:t>
      </w:r>
    </w:p>
    <w:p>
      <w:pPr>
        <w:pStyle w:val="ListBullet"/>
      </w:pPr>
      <w:r>
        <w:t>Raw capacity, erasure-code overhead and effective-capacity assumptions.</w:t>
      </w:r>
    </w:p>
    <w:p>
      <w:pPr>
        <w:pStyle w:val="ListBullet"/>
      </w:pPr>
      <w:r>
        <w:t>Power envelope, facility voltage, busway/PDU architecture and cooling-water conditions.</w:t>
      </w:r>
    </w:p>
    <w:p>
      <w:pPr>
        <w:pStyle w:val="ListBullet"/>
      </w:pPr>
      <w:r>
        <w:t>Storage software licensing, cloud-egress model and field-service strategy.</w:t>
      </w:r>
    </w:p>
    <w:p>
      <w:pPr>
        <w:pStyle w:val="ListBullet"/>
      </w:pPr>
      <w:r>
        <w:t>Regulatory, EMC, safety, supply-chain, FIPS and SBOM certification scope.</w:t>
      </w:r>
    </w:p>
    <w:p>
      <w:pPr>
        <w:pStyle w:val="Heading1"/>
        <w:keepNext/>
        <w:spacing w:before="200" w:after="80"/>
      </w:pPr>
      <w:r>
        <w:t>Consolidated Engineering Position</w:t>
      </w:r>
    </w:p>
    <w:p>
      <w:pPr>
        <w:spacing w:after="80" w:line="247" w:lineRule="auto"/>
        <w:ind w:left="360" w:right="360"/>
      </w:pPr>
      <w:r>
        <w:rPr>
          <w:b/>
          <w:color w:val="17324D"/>
          <w:sz w:val="22"/>
        </w:rPr>
        <w:t>The fourth-generation appliance should be built as a set of independent, serviceable performance and capacity failure domains connected by dual AI Ethernet fabrics. Front-access NVMe banks, distributed flash-mesh software, PCIe locality, direct liquid cooling, residual heat capture, zero-trust data protection and asynchronous cloud tiering together create a credible path to exabyte-class effective capacity and rack-level performance exceeding 10.2 TB/s and targeting 300 million 4 KB random-read IOPS. Every headline claim remains conditional on audited, configuration-specific qualification.</w:t>
      </w:r>
    </w:p>
    <w:p>
      <w:pPr>
        <w:pageBreakBefore/>
        <w:jc w:val="center"/>
      </w:pPr>
      <w:r>
        <w:rPr>
          <w:b/>
          <w:color w:val="C05C17"/>
          <w:sz w:val="28"/>
        </w:rPr>
        <w:t>PART III</w:t>
      </w:r>
    </w:p>
    <w:p>
      <w:pPr>
        <w:jc w:val="center"/>
      </w:pPr>
      <w:r>
        <w:rPr>
          <w:b/>
          <w:color w:val="1F4E79"/>
          <w:sz w:val="44"/>
        </w:rPr>
        <w:t>PRIVATE AI CLOUD, OPERATIONS, OPTIMIZATION AND INVESTOR POSITIONING</w:t>
      </w:r>
    </w:p>
    <w:p>
      <w:pPr>
        <w:jc w:val="center"/>
      </w:pPr>
      <w:r>
        <w:rPr>
          <w:color w:val="5A5A5A"/>
          <w:sz w:val="22"/>
        </w:rPr>
        <w:t>Sovereign AI Cloud • Hybrid Connectivity • Operational Control • Algorithmic Scale • Investment Thesis</w:t>
      </w:r>
    </w:p>
    <w:p>
      <w:pPr>
        <w:pStyle w:val="Heading1"/>
      </w:pPr>
      <w:r>
        <w:t>17. Algorithmic Performance Maximization</w:t>
      </w:r>
    </w:p>
    <w:p>
      <w:r>
        <w:t>NeuralMesh G4 uses a coordinated optimization engine to increase usable throughput, random-read performance and effective capacity while respecting physical limits imposed by SSD media, PCIe lanes, memory bandwidth, CPU scheduling and network fabrics. Higher figures are engineering roadmap targets and must not be represented as guaranteed production specifications before audited qualification.</w:t>
      </w:r>
    </w:p>
    <w:tbl>
      <w:tblPr>
        <w:tblStyle w:val="TableGrid"/>
        <w:tblW w:type="auto" w:w="0"/>
        <w:jc w:val="center"/>
        <w:tblLook w:firstColumn="1" w:firstRow="1" w:lastColumn="0" w:lastRow="0" w:noHBand="0" w:noVBand="1" w:val="04A0"/>
      </w:tblPr>
      <w:tblGrid>
        <w:gridCol w:w="3408"/>
        <w:gridCol w:w="3408"/>
        <w:gridCol w:w="3408"/>
      </w:tblGrid>
      <w:tr>
        <w:tc>
          <w:tcPr>
            <w:tcW w:type="dxa" w:w="3168"/>
            <w:vAlign w:val="center"/>
            <w:shd w:fill="1F4E79"/>
          </w:tcPr>
          <w:p>
            <w:pPr>
              <w:spacing w:after="0"/>
            </w:pPr>
            <w:r/>
            <w:r>
              <w:rPr>
                <w:b/>
                <w:color w:val="FFFFFF"/>
                <w:sz w:val="19"/>
              </w:rPr>
              <w:t>Metric</w:t>
            </w:r>
          </w:p>
        </w:tc>
        <w:tc>
          <w:tcPr>
            <w:tcW w:type="dxa" w:w="3312"/>
            <w:vAlign w:val="center"/>
            <w:shd w:fill="1F4E79"/>
          </w:tcPr>
          <w:p>
            <w:pPr>
              <w:spacing w:after="0"/>
            </w:pPr>
            <w:r/>
            <w:r>
              <w:rPr>
                <w:b/>
                <w:color w:val="FFFFFF"/>
                <w:sz w:val="19"/>
              </w:rPr>
              <w:t>Qualified Baseline Target</w:t>
            </w:r>
          </w:p>
        </w:tc>
        <w:tc>
          <w:tcPr>
            <w:tcW w:type="dxa" w:w="3312"/>
            <w:vAlign w:val="center"/>
            <w:shd w:fill="1F4E79"/>
          </w:tcPr>
          <w:p>
            <w:pPr>
              <w:spacing w:after="0"/>
            </w:pPr>
            <w:r/>
            <w:r>
              <w:rPr>
                <w:b/>
                <w:color w:val="FFFFFF"/>
                <w:sz w:val="19"/>
              </w:rPr>
              <w:t>Optimization Roadmap Target</w:t>
            </w:r>
          </w:p>
        </w:tc>
      </w:tr>
      <w:tr>
        <w:tc>
          <w:tcPr>
            <w:tcW w:type="dxa" w:w="3168"/>
            <w:vAlign w:val="center"/>
          </w:tcPr>
          <w:p>
            <w:pPr>
              <w:spacing w:after="0"/>
            </w:pPr>
            <w:r/>
            <w:r>
              <w:rPr>
                <w:b w:val="0"/>
                <w:sz w:val="18"/>
              </w:rPr>
              <w:t>Aggregate throughput</w:t>
            </w:r>
          </w:p>
        </w:tc>
        <w:tc>
          <w:tcPr>
            <w:tcW w:type="dxa" w:w="3312"/>
            <w:vAlign w:val="center"/>
          </w:tcPr>
          <w:p>
            <w:pPr>
              <w:spacing w:after="0"/>
            </w:pPr>
            <w:r/>
            <w:r>
              <w:rPr>
                <w:b w:val="0"/>
                <w:sz w:val="18"/>
              </w:rPr>
              <w:t>10.2+ TB/s</w:t>
            </w:r>
          </w:p>
        </w:tc>
        <w:tc>
          <w:tcPr>
            <w:tcW w:type="dxa" w:w="3312"/>
            <w:vAlign w:val="center"/>
          </w:tcPr>
          <w:p>
            <w:pPr>
              <w:spacing w:after="0"/>
            </w:pPr>
            <w:r/>
            <w:r>
              <w:rPr>
                <w:b w:val="0"/>
                <w:sz w:val="18"/>
              </w:rPr>
              <w:t>12-15+ TB/s</w:t>
            </w:r>
          </w:p>
        </w:tc>
      </w:tr>
      <w:tr>
        <w:tc>
          <w:tcPr>
            <w:tcW w:type="dxa" w:w="3168"/>
            <w:vAlign w:val="center"/>
            <w:shd w:fill="E7EBF0"/>
          </w:tcPr>
          <w:p>
            <w:pPr>
              <w:spacing w:after="0"/>
            </w:pPr>
            <w:r/>
            <w:r>
              <w:rPr>
                <w:b w:val="0"/>
                <w:sz w:val="18"/>
              </w:rPr>
              <w:t>4 KB random-read IOPS</w:t>
            </w:r>
          </w:p>
        </w:tc>
        <w:tc>
          <w:tcPr>
            <w:tcW w:type="dxa" w:w="3312"/>
            <w:vAlign w:val="center"/>
            <w:shd w:fill="E7EBF0"/>
          </w:tcPr>
          <w:p>
            <w:pPr>
              <w:spacing w:after="0"/>
            </w:pPr>
            <w:r/>
            <w:r>
              <w:rPr>
                <w:b w:val="0"/>
                <w:sz w:val="18"/>
              </w:rPr>
              <w:t>300 million</w:t>
            </w:r>
          </w:p>
        </w:tc>
        <w:tc>
          <w:tcPr>
            <w:tcW w:type="dxa" w:w="3312"/>
            <w:vAlign w:val="center"/>
            <w:shd w:fill="E7EBF0"/>
          </w:tcPr>
          <w:p>
            <w:pPr>
              <w:spacing w:after="0"/>
            </w:pPr>
            <w:r/>
            <w:r>
              <w:rPr>
                <w:b w:val="0"/>
                <w:sz w:val="18"/>
              </w:rPr>
              <w:t>350-450 million</w:t>
            </w:r>
          </w:p>
        </w:tc>
      </w:tr>
      <w:tr>
        <w:tc>
          <w:tcPr>
            <w:tcW w:type="dxa" w:w="3168"/>
            <w:vAlign w:val="center"/>
          </w:tcPr>
          <w:p>
            <w:pPr>
              <w:spacing w:after="0"/>
            </w:pPr>
            <w:r/>
            <w:r>
              <w:rPr>
                <w:b w:val="0"/>
                <w:sz w:val="18"/>
              </w:rPr>
              <w:t>Effective capacity</w:t>
            </w:r>
          </w:p>
        </w:tc>
        <w:tc>
          <w:tcPr>
            <w:tcW w:type="dxa" w:w="3312"/>
            <w:vAlign w:val="center"/>
          </w:tcPr>
          <w:p>
            <w:pPr>
              <w:spacing w:after="0"/>
            </w:pPr>
            <w:r/>
            <w:r>
              <w:rPr>
                <w:b w:val="0"/>
                <w:sz w:val="18"/>
              </w:rPr>
              <w:t>Up to 1.1 EB</w:t>
            </w:r>
          </w:p>
        </w:tc>
        <w:tc>
          <w:tcPr>
            <w:tcW w:type="dxa" w:w="3312"/>
            <w:vAlign w:val="center"/>
          </w:tcPr>
          <w:p>
            <w:pPr>
              <w:spacing w:after="0"/>
            </w:pPr>
            <w:r/>
            <w:r>
              <w:rPr>
                <w:b w:val="0"/>
                <w:sz w:val="18"/>
              </w:rPr>
              <w:t>1.3-1.8 EB</w:t>
            </w:r>
          </w:p>
        </w:tc>
      </w:tr>
      <w:tr>
        <w:tc>
          <w:tcPr>
            <w:tcW w:type="dxa" w:w="3168"/>
            <w:vAlign w:val="center"/>
            <w:shd w:fill="E7EBF0"/>
          </w:tcPr>
          <w:p>
            <w:pPr>
              <w:spacing w:after="0"/>
            </w:pPr>
            <w:r/>
            <w:r>
              <w:rPr>
                <w:b w:val="0"/>
                <w:sz w:val="18"/>
              </w:rPr>
              <w:t>Predictable-workload cache hit rate</w:t>
            </w:r>
          </w:p>
        </w:tc>
        <w:tc>
          <w:tcPr>
            <w:tcW w:type="dxa" w:w="3312"/>
            <w:vAlign w:val="center"/>
            <w:shd w:fill="E7EBF0"/>
          </w:tcPr>
          <w:p>
            <w:pPr>
              <w:spacing w:after="0"/>
            </w:pPr>
            <w:r/>
            <w:r>
              <w:rPr>
                <w:b w:val="0"/>
                <w:sz w:val="18"/>
              </w:rPr>
              <w:t>Workload dependent</w:t>
            </w:r>
          </w:p>
        </w:tc>
        <w:tc>
          <w:tcPr>
            <w:tcW w:type="dxa" w:w="3312"/>
            <w:vAlign w:val="center"/>
            <w:shd w:fill="E7EBF0"/>
          </w:tcPr>
          <w:p>
            <w:pPr>
              <w:spacing w:after="0"/>
            </w:pPr>
            <w:r/>
            <w:r>
              <w:rPr>
                <w:b w:val="0"/>
                <w:sz w:val="18"/>
              </w:rPr>
              <w:t>96-99% target</w:t>
            </w:r>
          </w:p>
        </w:tc>
      </w:tr>
      <w:tr>
        <w:tc>
          <w:tcPr>
            <w:tcW w:type="dxa" w:w="3168"/>
            <w:vAlign w:val="center"/>
          </w:tcPr>
          <w:p>
            <w:pPr>
              <w:spacing w:after="0"/>
            </w:pPr>
            <w:r/>
            <w:r>
              <w:rPr>
                <w:b w:val="0"/>
                <w:sz w:val="18"/>
              </w:rPr>
              <w:t>Tail latency</w:t>
            </w:r>
          </w:p>
        </w:tc>
        <w:tc>
          <w:tcPr>
            <w:tcW w:type="dxa" w:w="3312"/>
            <w:vAlign w:val="center"/>
          </w:tcPr>
          <w:p>
            <w:pPr>
              <w:spacing w:after="0"/>
            </w:pPr>
            <w:r/>
            <w:r>
              <w:rPr>
                <w:b w:val="0"/>
                <w:sz w:val="18"/>
              </w:rPr>
              <w:t>Configuration dependent</w:t>
            </w:r>
          </w:p>
        </w:tc>
        <w:tc>
          <w:tcPr>
            <w:tcW w:type="dxa" w:w="3312"/>
            <w:vAlign w:val="center"/>
          </w:tcPr>
          <w:p>
            <w:pPr>
              <w:spacing w:after="0"/>
            </w:pPr>
            <w:r/>
            <w:r>
              <w:rPr>
                <w:b w:val="0"/>
                <w:sz w:val="18"/>
              </w:rPr>
              <w:t>20-40% reduction target</w:t>
            </w:r>
          </w:p>
        </w:tc>
      </w:tr>
    </w:tbl>
    <w:p/>
    <w:p>
      <w:pPr>
        <w:pStyle w:val="Heading2"/>
      </w:pPr>
      <w:r>
        <w:t>17.1 NeuralMesh Optimization Engine</w:t>
      </w:r>
    </w:p>
    <w:p>
      <w:pPr>
        <w:pStyle w:val="ListBullet"/>
      </w:pPr>
      <w:r>
        <w:t>Adaptive striping selects stripe width, participating nodes, SSD banks, block size and protection groups according to workload type.</w:t>
      </w:r>
    </w:p>
    <w:p>
      <w:pPr>
        <w:pStyle w:val="ListBullet"/>
      </w:pPr>
      <w:r>
        <w:t>Predictive cache placement and prefetch use training schedules, model access sequences, checkpoint behavior and vector-index locality.</w:t>
      </w:r>
    </w:p>
    <w:p>
      <w:pPr>
        <w:pStyle w:val="ListBullet"/>
      </w:pPr>
      <w:r>
        <w:t>NUMA-aware scheduling aligns NIC, CPU socket, memory, PCIe switch and flash bank to minimize cross-socket traffic.</w:t>
      </w:r>
    </w:p>
    <w:p>
      <w:pPr>
        <w:pStyle w:val="ListBullet"/>
      </w:pPr>
      <w:r>
        <w:t>Dynamic queue-depth and block-size control continuously balances latency, IOPS and throughput for each SSD and workload class.</w:t>
      </w:r>
    </w:p>
    <w:p>
      <w:pPr>
        <w:pStyle w:val="ListBullet"/>
      </w:pPr>
      <w:r>
        <w:t>Parallel path balancing responds to NIC utilization, PCIe pressure, queue occupancy, network congestion, SSD temperature and endurance.</w:t>
      </w:r>
    </w:p>
    <w:p>
      <w:pPr>
        <w:pStyle w:val="ListBullet"/>
      </w:pPr>
      <w:r>
        <w:t>Content-aware compression, global deduplication, delta checkpointing and intelligent tiering increase effective capacity without placing cloud transfer in the critical I/O path.</w:t>
      </w:r>
    </w:p>
    <w:p>
      <w:pPr>
        <w:pStyle w:val="Heading2"/>
      </w:pPr>
      <w:r>
        <w:t>17.2 Thermal-Aware Performance Control</w:t>
      </w:r>
    </w:p>
    <w:p>
      <w:r>
        <w:t>The optimization engine treats temperature as a scheduling signal. It can redirect reads to cooler replicas, spread writes across flash banks, temporarily reduce background rebuild and compression activity, increase coolant flow in affected branches and prevent CPU, NIC, PCIe-switch or SSD throttling.</w:t>
      </w:r>
    </w:p>
    <w:p>
      <w:pPr>
        <w:pStyle w:val="Heading1"/>
      </w:pPr>
      <w:r>
        <w:t>18. Sovereign Private AI Cloud on NeuralMesh G4</w:t>
      </w:r>
    </w:p>
    <w:p>
      <w:r>
        <w:t>NeuralMesh G4 can serve as the central data brain of a sovereign private AI cloud. The platform brings cloud-like self-service, container orchestration, AI services, analytics and governed data access into an organization-controlled environment while preserving ownership of data, models, policies, infrastructure and encryption keys.</w:t>
      </w:r>
    </w:p>
    <w:p>
      <w:pPr>
        <w:jc w:val="center"/>
      </w:pPr>
      <w:r>
        <w:drawing>
          <wp:inline xmlns:a="http://schemas.openxmlformats.org/drawingml/2006/main" xmlns:pic="http://schemas.openxmlformats.org/drawingml/2006/picture">
            <wp:extent cx="6309360" cy="3547241"/>
            <wp:docPr id="2" name="Picture 2"/>
            <wp:cNvGraphicFramePr>
              <a:graphicFrameLocks noChangeAspect="1"/>
            </wp:cNvGraphicFramePr>
            <a:graphic>
              <a:graphicData uri="http://schemas.openxmlformats.org/drawingml/2006/picture">
                <pic:pic>
                  <pic:nvPicPr>
                    <pic:cNvPr id="0" name="NeuralMesh_G4_Private_AI_Cloud_Hub_FIXED.png"/>
                    <pic:cNvPicPr/>
                  </pic:nvPicPr>
                  <pic:blipFill>
                    <a:blip r:embed="rId12"/>
                    <a:stretch>
                      <a:fillRect/>
                    </a:stretch>
                  </pic:blipFill>
                  <pic:spPr>
                    <a:xfrm>
                      <a:off x="0" y="0"/>
                      <a:ext cx="6309360" cy="3547241"/>
                    </a:xfrm>
                    <a:prstGeom prst="rect"/>
                  </pic:spPr>
                </pic:pic>
              </a:graphicData>
            </a:graphic>
          </wp:inline>
        </w:drawing>
      </w:r>
    </w:p>
    <w:p>
      <w:pPr>
        <w:jc w:val="center"/>
      </w:pPr>
      <w:r>
        <w:rPr>
          <w:i/>
          <w:sz w:val="17"/>
        </w:rPr>
        <w:t>Figure 2. NeuralMesh G4 as the central brain for private AI cloud services and concurrent enterprise data interfaces.</w:t>
      </w:r>
    </w:p>
    <w:tbl>
      <w:tblPr>
        <w:tblStyle w:val="TableGrid"/>
        <w:tblW w:type="auto" w:w="0"/>
        <w:jc w:val="center"/>
        <w:tblLook w:firstColumn="1" w:firstRow="1" w:lastColumn="0" w:lastRow="0" w:noHBand="0" w:noVBand="1" w:val="04A0"/>
      </w:tblPr>
      <w:tblGrid>
        <w:gridCol w:w="5112"/>
        <w:gridCol w:w="5112"/>
      </w:tblGrid>
      <w:tr>
        <w:tc>
          <w:tcPr>
            <w:tcW w:type="dxa" w:w="2880"/>
            <w:vAlign w:val="center"/>
            <w:shd w:fill="1F4E79"/>
          </w:tcPr>
          <w:p>
            <w:pPr>
              <w:spacing w:after="0"/>
            </w:pPr>
            <w:r/>
            <w:r>
              <w:rPr>
                <w:b/>
                <w:color w:val="FFFFFF"/>
                <w:sz w:val="19"/>
              </w:rPr>
              <w:t>Platform Layer</w:t>
            </w:r>
          </w:p>
        </w:tc>
        <w:tc>
          <w:tcPr>
            <w:tcW w:type="dxa" w:w="7200"/>
            <w:vAlign w:val="center"/>
            <w:shd w:fill="1F4E79"/>
          </w:tcPr>
          <w:p>
            <w:pPr>
              <w:spacing w:after="0"/>
            </w:pPr>
            <w:r/>
            <w:r>
              <w:rPr>
                <w:b/>
                <w:color w:val="FFFFFF"/>
                <w:sz w:val="19"/>
              </w:rPr>
              <w:t>Required Capabilities</w:t>
            </w:r>
          </w:p>
        </w:tc>
      </w:tr>
      <w:tr>
        <w:tc>
          <w:tcPr>
            <w:tcW w:type="dxa" w:w="2880"/>
            <w:vAlign w:val="center"/>
          </w:tcPr>
          <w:p>
            <w:pPr>
              <w:spacing w:after="0"/>
            </w:pPr>
            <w:r/>
            <w:r>
              <w:rPr>
                <w:b w:val="0"/>
                <w:sz w:val="18"/>
              </w:rPr>
              <w:t>Experience layer</w:t>
            </w:r>
          </w:p>
        </w:tc>
        <w:tc>
          <w:tcPr>
            <w:tcW w:type="dxa" w:w="7200"/>
            <w:vAlign w:val="center"/>
          </w:tcPr>
          <w:p>
            <w:pPr>
              <w:spacing w:after="0"/>
            </w:pPr>
            <w:r/>
            <w:r>
              <w:rPr>
                <w:b w:val="0"/>
                <w:sz w:val="18"/>
              </w:rPr>
              <w:t>Self-service portal, APIs, notebooks, AI workspaces and developer services</w:t>
            </w:r>
          </w:p>
        </w:tc>
      </w:tr>
      <w:tr>
        <w:tc>
          <w:tcPr>
            <w:tcW w:type="dxa" w:w="2880"/>
            <w:vAlign w:val="center"/>
            <w:shd w:fill="E7EBF0"/>
          </w:tcPr>
          <w:p>
            <w:pPr>
              <w:spacing w:after="0"/>
            </w:pPr>
            <w:r/>
            <w:r>
              <w:rPr>
                <w:b w:val="0"/>
                <w:sz w:val="18"/>
              </w:rPr>
              <w:t>Private cloud control plane</w:t>
            </w:r>
          </w:p>
        </w:tc>
        <w:tc>
          <w:tcPr>
            <w:tcW w:type="dxa" w:w="7200"/>
            <w:vAlign w:val="center"/>
            <w:shd w:fill="E7EBF0"/>
          </w:tcPr>
          <w:p>
            <w:pPr>
              <w:spacing w:after="0"/>
            </w:pPr>
            <w:r/>
            <w:r>
              <w:rPr>
                <w:b w:val="0"/>
                <w:sz w:val="18"/>
              </w:rPr>
              <w:t>Kubernetes orchestration, tenant and project management, service catalog, quotas, policy and lifecycle automation</w:t>
            </w:r>
          </w:p>
        </w:tc>
      </w:tr>
      <w:tr>
        <w:tc>
          <w:tcPr>
            <w:tcW w:type="dxa" w:w="2880"/>
            <w:vAlign w:val="center"/>
          </w:tcPr>
          <w:p>
            <w:pPr>
              <w:spacing w:after="0"/>
            </w:pPr>
            <w:r/>
            <w:r>
              <w:rPr>
                <w:b w:val="0"/>
                <w:sz w:val="18"/>
              </w:rPr>
              <w:t>AI platform</w:t>
            </w:r>
          </w:p>
        </w:tc>
        <w:tc>
          <w:tcPr>
            <w:tcW w:type="dxa" w:w="7200"/>
            <w:vAlign w:val="center"/>
          </w:tcPr>
          <w:p>
            <w:pPr>
              <w:spacing w:after="0"/>
            </w:pPr>
            <w:r/>
            <w:r>
              <w:rPr>
                <w:b w:val="0"/>
                <w:sz w:val="18"/>
              </w:rPr>
              <w:t>Training, inference, RAG, agents, vector search, MLOps, LLMOps and model registry</w:t>
            </w:r>
          </w:p>
        </w:tc>
      </w:tr>
      <w:tr>
        <w:tc>
          <w:tcPr>
            <w:tcW w:type="dxa" w:w="2880"/>
            <w:vAlign w:val="center"/>
            <w:shd w:fill="E7EBF0"/>
          </w:tcPr>
          <w:p>
            <w:pPr>
              <w:spacing w:after="0"/>
            </w:pPr>
            <w:r/>
            <w:r>
              <w:rPr>
                <w:b w:val="0"/>
                <w:sz w:val="18"/>
              </w:rPr>
              <w:t>Analytics platform</w:t>
            </w:r>
          </w:p>
        </w:tc>
        <w:tc>
          <w:tcPr>
            <w:tcW w:type="dxa" w:w="7200"/>
            <w:vAlign w:val="center"/>
            <w:shd w:fill="E7EBF0"/>
          </w:tcPr>
          <w:p>
            <w:pPr>
              <w:spacing w:after="0"/>
            </w:pPr>
            <w:r/>
            <w:r>
              <w:rPr>
                <w:b w:val="0"/>
                <w:sz w:val="18"/>
              </w:rPr>
              <w:t>Lakehouse, SQL, streaming analytics, BI, notebooks, feature services and governed data products</w:t>
            </w:r>
          </w:p>
        </w:tc>
      </w:tr>
      <w:tr>
        <w:tc>
          <w:tcPr>
            <w:tcW w:type="dxa" w:w="2880"/>
            <w:vAlign w:val="center"/>
          </w:tcPr>
          <w:p>
            <w:pPr>
              <w:spacing w:after="0"/>
            </w:pPr>
            <w:r/>
            <w:r>
              <w:rPr>
                <w:b w:val="0"/>
                <w:sz w:val="18"/>
              </w:rPr>
              <w:t>NeuralMesh data fabric</w:t>
            </w:r>
          </w:p>
        </w:tc>
        <w:tc>
          <w:tcPr>
            <w:tcW w:type="dxa" w:w="7200"/>
            <w:vAlign w:val="center"/>
          </w:tcPr>
          <w:p>
            <w:pPr>
              <w:spacing w:after="0"/>
            </w:pPr>
            <w:r/>
            <w:r>
              <w:rPr>
                <w:b w:val="0"/>
                <w:sz w:val="18"/>
              </w:rPr>
              <w:t>Unified file/object/container namespace, performance NVMe, flash mesh, snapshots and policy placement</w:t>
            </w:r>
          </w:p>
        </w:tc>
      </w:tr>
      <w:tr>
        <w:tc>
          <w:tcPr>
            <w:tcW w:type="dxa" w:w="2880"/>
            <w:vAlign w:val="center"/>
            <w:shd w:fill="E7EBF0"/>
          </w:tcPr>
          <w:p>
            <w:pPr>
              <w:spacing w:after="0"/>
            </w:pPr>
            <w:r/>
            <w:r>
              <w:rPr>
                <w:b w:val="0"/>
                <w:sz w:val="18"/>
              </w:rPr>
              <w:t>Security and governance</w:t>
            </w:r>
          </w:p>
        </w:tc>
        <w:tc>
          <w:tcPr>
            <w:tcW w:type="dxa" w:w="7200"/>
            <w:vAlign w:val="center"/>
            <w:shd w:fill="E7EBF0"/>
          </w:tcPr>
          <w:p>
            <w:pPr>
              <w:spacing w:after="0"/>
            </w:pPr>
            <w:r/>
            <w:r>
              <w:rPr>
                <w:b w:val="0"/>
                <w:sz w:val="18"/>
              </w:rPr>
              <w:t>Zero Trust, MFA, encryption, masking, tokenization, lineage, retention, residency and immutable audit</w:t>
            </w:r>
          </w:p>
        </w:tc>
      </w:tr>
      <w:tr>
        <w:tc>
          <w:tcPr>
            <w:tcW w:type="dxa" w:w="2880"/>
            <w:vAlign w:val="center"/>
          </w:tcPr>
          <w:p>
            <w:pPr>
              <w:spacing w:after="0"/>
            </w:pPr>
            <w:r/>
            <w:r>
              <w:rPr>
                <w:b w:val="0"/>
                <w:sz w:val="18"/>
              </w:rPr>
              <w:t>Infrastructure</w:t>
            </w:r>
          </w:p>
        </w:tc>
        <w:tc>
          <w:tcPr>
            <w:tcW w:type="dxa" w:w="7200"/>
            <w:vAlign w:val="center"/>
          </w:tcPr>
          <w:p>
            <w:pPr>
              <w:spacing w:after="0"/>
            </w:pPr>
            <w:r/>
            <w:r>
              <w:rPr>
                <w:b w:val="0"/>
                <w:sz w:val="18"/>
              </w:rPr>
              <w:t>GPU and CPU clusters, Spectrum-X fabrics, storage, power, cooling and observability</w:t>
            </w:r>
          </w:p>
        </w:tc>
      </w:tr>
    </w:tbl>
    <w:p/>
    <w:p>
      <w:pPr>
        <w:pStyle w:val="Heading2"/>
      </w:pPr>
      <w:r>
        <w:t>18.1 Private AI Cloud Outcomes</w:t>
      </w:r>
    </w:p>
    <w:p>
      <w:pPr>
        <w:pStyle w:val="ListBullet"/>
      </w:pPr>
      <w:r>
        <w:t>Keep regulated and proprietary datasets within approved organizational or sovereign boundaries.</w:t>
      </w:r>
    </w:p>
    <w:p>
      <w:pPr>
        <w:pStyle w:val="ListBullet"/>
      </w:pPr>
      <w:r>
        <w:t>Provide cloud-like agility without forcing sensitive data or model assets into public AI services.</w:t>
      </w:r>
    </w:p>
    <w:p>
      <w:pPr>
        <w:pStyle w:val="ListBullet"/>
      </w:pPr>
      <w:r>
        <w:t>Offer isolated workspaces using masked, tokenized or privacy-preserving synthetic data.</w:t>
      </w:r>
    </w:p>
    <w:p>
      <w:pPr>
        <w:pStyle w:val="ListBullet"/>
      </w:pPr>
      <w:r>
        <w:t>Operate model training, inference, RAG, analytics and agentic workloads on a governed shared platform.</w:t>
      </w:r>
    </w:p>
    <w:p>
      <w:pPr>
        <w:pStyle w:val="ListBullet"/>
      </w:pPr>
      <w:r>
        <w:t>Enforce data residency, retention, purpose limitation, model approval and human-oversight policies.</w:t>
      </w:r>
    </w:p>
    <w:p>
      <w:pPr>
        <w:pStyle w:val="ListBullet"/>
      </w:pPr>
      <w:r>
        <w:t>Extend only approved encrypted copies or workloads to public-cloud services.</w:t>
      </w:r>
    </w:p>
    <w:p>
      <w:pPr>
        <w:pStyle w:val="Heading1"/>
      </w:pPr>
      <w:r>
        <w:t>19. Hybrid Cloud and Concurrent Data Interfaces</w:t>
      </w:r>
    </w:p>
    <w:p>
      <w:r>
        <w:t>The private AI cloud should support concurrent connections from enterprise applications, AI agents, users and data platforms while exposing policy-controlled interfaces to Microsoft Azure, Amazon Web Services and Google Cloud Platform.</w:t>
      </w:r>
    </w:p>
    <w:p>
      <w:pPr>
        <w:jc w:val="center"/>
      </w:pPr>
      <w:r>
        <w:drawing>
          <wp:inline xmlns:a="http://schemas.openxmlformats.org/drawingml/2006/main" xmlns:pic="http://schemas.openxmlformats.org/drawingml/2006/picture">
            <wp:extent cx="6309360" cy="3547241"/>
            <wp:docPr id="3" name="Picture 3"/>
            <wp:cNvGraphicFramePr>
              <a:graphicFrameLocks noChangeAspect="1"/>
            </wp:cNvGraphicFramePr>
            <a:graphic>
              <a:graphicData uri="http://schemas.openxmlformats.org/drawingml/2006/picture">
                <pic:pic>
                  <pic:nvPicPr>
                    <pic:cNvPr id="0" name="NeuralMesh_G4_Hybrid_Private_Cloud_Architecture_FIXED.png"/>
                    <pic:cNvPicPr/>
                  </pic:nvPicPr>
                  <pic:blipFill>
                    <a:blip r:embed="rId13"/>
                    <a:stretch>
                      <a:fillRect/>
                    </a:stretch>
                  </pic:blipFill>
                  <pic:spPr>
                    <a:xfrm>
                      <a:off x="0" y="0"/>
                      <a:ext cx="6309360" cy="3547241"/>
                    </a:xfrm>
                    <a:prstGeom prst="rect"/>
                  </pic:spPr>
                </pic:pic>
              </a:graphicData>
            </a:graphic>
          </wp:inline>
        </w:drawing>
      </w:r>
    </w:p>
    <w:p>
      <w:pPr>
        <w:jc w:val="center"/>
      </w:pPr>
      <w:r>
        <w:rPr>
          <w:i/>
          <w:sz w:val="17"/>
        </w:rPr>
        <w:t>Figure 3. Hybrid private-cloud architecture with concurrent data sources and secure public-cloud interfaces.</w:t>
      </w:r>
    </w:p>
    <w:tbl>
      <w:tblPr>
        <w:tblStyle w:val="TableGrid"/>
        <w:tblW w:type="auto" w:w="0"/>
        <w:jc w:val="center"/>
        <w:tblLook w:firstColumn="1" w:firstRow="1" w:lastColumn="0" w:lastRow="0" w:noHBand="0" w:noVBand="1" w:val="04A0"/>
      </w:tblPr>
      <w:tblGrid>
        <w:gridCol w:w="3408"/>
        <w:gridCol w:w="3408"/>
        <w:gridCol w:w="3408"/>
      </w:tblGrid>
      <w:tr>
        <w:tc>
          <w:tcPr>
            <w:tcW w:type="dxa" w:w="2304"/>
            <w:vAlign w:val="center"/>
            <w:shd w:fill="1F4E79"/>
          </w:tcPr>
          <w:p>
            <w:pPr>
              <w:spacing w:after="0"/>
            </w:pPr>
            <w:r/>
            <w:r>
              <w:rPr>
                <w:b/>
                <w:color w:val="FFFFFF"/>
                <w:sz w:val="19"/>
              </w:rPr>
              <w:t>Interface Domain</w:t>
            </w:r>
          </w:p>
        </w:tc>
        <w:tc>
          <w:tcPr>
            <w:tcW w:type="dxa" w:w="3744"/>
            <w:vAlign w:val="center"/>
            <w:shd w:fill="1F4E79"/>
          </w:tcPr>
          <w:p>
            <w:pPr>
              <w:spacing w:after="0"/>
            </w:pPr>
            <w:r/>
            <w:r>
              <w:rPr>
                <w:b/>
                <w:color w:val="FFFFFF"/>
                <w:sz w:val="19"/>
              </w:rPr>
              <w:t>Examples</w:t>
            </w:r>
          </w:p>
        </w:tc>
        <w:tc>
          <w:tcPr>
            <w:tcW w:type="dxa" w:w="4032"/>
            <w:vAlign w:val="center"/>
            <w:shd w:fill="1F4E79"/>
          </w:tcPr>
          <w:p>
            <w:pPr>
              <w:spacing w:after="0"/>
            </w:pPr>
            <w:r/>
            <w:r>
              <w:rPr>
                <w:b/>
                <w:color w:val="FFFFFF"/>
                <w:sz w:val="19"/>
              </w:rPr>
              <w:t>Control Requirements</w:t>
            </w:r>
          </w:p>
        </w:tc>
      </w:tr>
      <w:tr>
        <w:tc>
          <w:tcPr>
            <w:tcW w:type="dxa" w:w="2304"/>
            <w:vAlign w:val="center"/>
          </w:tcPr>
          <w:p>
            <w:pPr>
              <w:spacing w:after="0"/>
            </w:pPr>
            <w:r/>
            <w:r>
              <w:rPr>
                <w:b w:val="0"/>
                <w:sz w:val="18"/>
              </w:rPr>
              <w:t>Enterprise systems</w:t>
            </w:r>
          </w:p>
        </w:tc>
        <w:tc>
          <w:tcPr>
            <w:tcW w:type="dxa" w:w="3744"/>
            <w:vAlign w:val="center"/>
          </w:tcPr>
          <w:p>
            <w:pPr>
              <w:spacing w:after="0"/>
            </w:pPr>
            <w:r/>
            <w:r>
              <w:rPr>
                <w:b w:val="0"/>
                <w:sz w:val="18"/>
              </w:rPr>
              <w:t>ERP, CRM, business applications, SaaS</w:t>
            </w:r>
          </w:p>
        </w:tc>
        <w:tc>
          <w:tcPr>
            <w:tcW w:type="dxa" w:w="4032"/>
            <w:vAlign w:val="center"/>
          </w:tcPr>
          <w:p>
            <w:pPr>
              <w:spacing w:after="0"/>
            </w:pPr>
            <w:r/>
            <w:r>
              <w:rPr>
                <w:b w:val="0"/>
                <w:sz w:val="18"/>
              </w:rPr>
              <w:t>Identity federation, least privilege and workload quotas</w:t>
            </w:r>
          </w:p>
        </w:tc>
      </w:tr>
      <w:tr>
        <w:tc>
          <w:tcPr>
            <w:tcW w:type="dxa" w:w="2304"/>
            <w:vAlign w:val="center"/>
            <w:shd w:fill="E7EBF0"/>
          </w:tcPr>
          <w:p>
            <w:pPr>
              <w:spacing w:after="0"/>
            </w:pPr>
            <w:r/>
            <w:r>
              <w:rPr>
                <w:b w:val="0"/>
                <w:sz w:val="18"/>
              </w:rPr>
              <w:t>Databases</w:t>
            </w:r>
          </w:p>
        </w:tc>
        <w:tc>
          <w:tcPr>
            <w:tcW w:type="dxa" w:w="3744"/>
            <w:vAlign w:val="center"/>
            <w:shd w:fill="E7EBF0"/>
          </w:tcPr>
          <w:p>
            <w:pPr>
              <w:spacing w:after="0"/>
            </w:pPr>
            <w:r/>
            <w:r>
              <w:rPr>
                <w:b w:val="0"/>
                <w:sz w:val="18"/>
              </w:rPr>
              <w:t>SQL, NoSQL, operational databases and vector databases</w:t>
            </w:r>
          </w:p>
        </w:tc>
        <w:tc>
          <w:tcPr>
            <w:tcW w:type="dxa" w:w="4032"/>
            <w:vAlign w:val="center"/>
            <w:shd w:fill="E7EBF0"/>
          </w:tcPr>
          <w:p>
            <w:pPr>
              <w:spacing w:after="0"/>
            </w:pPr>
            <w:r/>
            <w:r>
              <w:rPr>
                <w:b w:val="0"/>
                <w:sz w:val="18"/>
              </w:rPr>
              <w:t>Encryption, query policy, masking and audit</w:t>
            </w:r>
          </w:p>
        </w:tc>
      </w:tr>
      <w:tr>
        <w:tc>
          <w:tcPr>
            <w:tcW w:type="dxa" w:w="2304"/>
            <w:vAlign w:val="center"/>
          </w:tcPr>
          <w:p>
            <w:pPr>
              <w:spacing w:after="0"/>
            </w:pPr>
            <w:r/>
            <w:r>
              <w:rPr>
                <w:b w:val="0"/>
                <w:sz w:val="18"/>
              </w:rPr>
              <w:t>Data platforms</w:t>
            </w:r>
          </w:p>
        </w:tc>
        <w:tc>
          <w:tcPr>
            <w:tcW w:type="dxa" w:w="3744"/>
            <w:vAlign w:val="center"/>
          </w:tcPr>
          <w:p>
            <w:pPr>
              <w:spacing w:after="0"/>
            </w:pPr>
            <w:r/>
            <w:r>
              <w:rPr>
                <w:b w:val="0"/>
                <w:sz w:val="18"/>
              </w:rPr>
              <w:t>Lakes, warehouses, lakehouse, file shares and object stores</w:t>
            </w:r>
          </w:p>
        </w:tc>
        <w:tc>
          <w:tcPr>
            <w:tcW w:type="dxa" w:w="4032"/>
            <w:vAlign w:val="center"/>
          </w:tcPr>
          <w:p>
            <w:pPr>
              <w:spacing w:after="0"/>
            </w:pPr>
            <w:r/>
            <w:r>
              <w:rPr>
                <w:b w:val="0"/>
                <w:sz w:val="18"/>
              </w:rPr>
              <w:t>Classification, lineage, retention and placement policy</w:t>
            </w:r>
          </w:p>
        </w:tc>
      </w:tr>
      <w:tr>
        <w:tc>
          <w:tcPr>
            <w:tcW w:type="dxa" w:w="2304"/>
            <w:vAlign w:val="center"/>
            <w:shd w:fill="E7EBF0"/>
          </w:tcPr>
          <w:p>
            <w:pPr>
              <w:spacing w:after="0"/>
            </w:pPr>
            <w:r/>
            <w:r>
              <w:rPr>
                <w:b w:val="0"/>
                <w:sz w:val="18"/>
              </w:rPr>
              <w:t>Streaming and edge</w:t>
            </w:r>
          </w:p>
        </w:tc>
        <w:tc>
          <w:tcPr>
            <w:tcW w:type="dxa" w:w="3744"/>
            <w:vAlign w:val="center"/>
            <w:shd w:fill="E7EBF0"/>
          </w:tcPr>
          <w:p>
            <w:pPr>
              <w:spacing w:after="0"/>
            </w:pPr>
            <w:r/>
            <w:r>
              <w:rPr>
                <w:b w:val="0"/>
                <w:sz w:val="18"/>
              </w:rPr>
              <w:t>Kafka-like streams, messaging, IoT and edge devices</w:t>
            </w:r>
          </w:p>
        </w:tc>
        <w:tc>
          <w:tcPr>
            <w:tcW w:type="dxa" w:w="4032"/>
            <w:vAlign w:val="center"/>
            <w:shd w:fill="E7EBF0"/>
          </w:tcPr>
          <w:p>
            <w:pPr>
              <w:spacing w:after="0"/>
            </w:pPr>
            <w:r/>
            <w:r>
              <w:rPr>
                <w:b w:val="0"/>
                <w:sz w:val="18"/>
              </w:rPr>
              <w:t>Rate control, schema validation and anomaly detection</w:t>
            </w:r>
          </w:p>
        </w:tc>
      </w:tr>
      <w:tr>
        <w:tc>
          <w:tcPr>
            <w:tcW w:type="dxa" w:w="2304"/>
            <w:vAlign w:val="center"/>
          </w:tcPr>
          <w:p>
            <w:pPr>
              <w:spacing w:after="0"/>
            </w:pPr>
            <w:r/>
            <w:r>
              <w:rPr>
                <w:b w:val="0"/>
                <w:sz w:val="18"/>
              </w:rPr>
              <w:t>Application interfaces</w:t>
            </w:r>
          </w:p>
        </w:tc>
        <w:tc>
          <w:tcPr>
            <w:tcW w:type="dxa" w:w="3744"/>
            <w:vAlign w:val="center"/>
          </w:tcPr>
          <w:p>
            <w:pPr>
              <w:spacing w:after="0"/>
            </w:pPr>
            <w:r/>
            <w:r>
              <w:rPr>
                <w:b w:val="0"/>
                <w:sz w:val="18"/>
              </w:rPr>
              <w:t>APIs, microservices, notebooks and analytics tools</w:t>
            </w:r>
          </w:p>
        </w:tc>
        <w:tc>
          <w:tcPr>
            <w:tcW w:type="dxa" w:w="4032"/>
            <w:vAlign w:val="center"/>
          </w:tcPr>
          <w:p>
            <w:pPr>
              <w:spacing w:after="0"/>
            </w:pPr>
            <w:r/>
            <w:r>
              <w:rPr>
                <w:b w:val="0"/>
                <w:sz w:val="18"/>
              </w:rPr>
              <w:t>API gateway, token scopes, service identity and telemetry</w:t>
            </w:r>
          </w:p>
        </w:tc>
      </w:tr>
      <w:tr>
        <w:tc>
          <w:tcPr>
            <w:tcW w:type="dxa" w:w="2304"/>
            <w:vAlign w:val="center"/>
            <w:shd w:fill="E7EBF0"/>
          </w:tcPr>
          <w:p>
            <w:pPr>
              <w:spacing w:after="0"/>
            </w:pPr>
            <w:r/>
            <w:r>
              <w:rPr>
                <w:b w:val="0"/>
                <w:sz w:val="18"/>
              </w:rPr>
              <w:t>Public cloud</w:t>
            </w:r>
          </w:p>
        </w:tc>
        <w:tc>
          <w:tcPr>
            <w:tcW w:type="dxa" w:w="3744"/>
            <w:vAlign w:val="center"/>
            <w:shd w:fill="E7EBF0"/>
          </w:tcPr>
          <w:p>
            <w:pPr>
              <w:spacing w:after="0"/>
            </w:pPr>
            <w:r/>
            <w:r>
              <w:rPr>
                <w:b w:val="0"/>
                <w:sz w:val="18"/>
              </w:rPr>
              <w:t>Azure, AWS, GCP and private S3</w:t>
            </w:r>
          </w:p>
        </w:tc>
        <w:tc>
          <w:tcPr>
            <w:tcW w:type="dxa" w:w="4032"/>
            <w:vAlign w:val="center"/>
            <w:shd w:fill="E7EBF0"/>
          </w:tcPr>
          <w:p>
            <w:pPr>
              <w:spacing w:after="0"/>
            </w:pPr>
            <w:r/>
            <w:r>
              <w:rPr>
                <w:b w:val="0"/>
                <w:sz w:val="18"/>
              </w:rPr>
              <w:t>Approved encrypted archive, burst analytics, backup/DR and destination validation</w:t>
            </w:r>
          </w:p>
        </w:tc>
      </w:tr>
    </w:tbl>
    <w:p/>
    <w:p>
      <w:pPr>
        <w:pStyle w:val="Heading2"/>
      </w:pPr>
      <w:r>
        <w:t>19.1 Policy-Governed Data Movement</w:t>
      </w:r>
    </w:p>
    <w:p>
      <w:pPr>
        <w:pStyle w:val="ListNumber"/>
      </w:pPr>
      <w:r>
        <w:t>Classify and tag incoming data, model artifacts, prompts, embeddings and checkpoints.</w:t>
      </w:r>
    </w:p>
    <w:p>
      <w:pPr>
        <w:pStyle w:val="ListNumber"/>
      </w:pPr>
      <w:r>
        <w:t>Evaluate residency, purpose, retention, legal hold, destination and risk policies.</w:t>
      </w:r>
    </w:p>
    <w:p>
      <w:pPr>
        <w:pStyle w:val="ListNumber"/>
      </w:pPr>
      <w:r>
        <w:t>Apply masking, tokenization, pseudonymization or synthetic substitution when required.</w:t>
      </w:r>
    </w:p>
    <w:p>
      <w:pPr>
        <w:pStyle w:val="ListNumber"/>
      </w:pPr>
      <w:r>
        <w:t>Encrypt data at rest and in transit with customer-controlled keys.</w:t>
      </w:r>
    </w:p>
    <w:p>
      <w:pPr>
        <w:pStyle w:val="ListNumber"/>
      </w:pPr>
      <w:r>
        <w:t>Permit only approved destinations and block unauthorized public-cloud movement.</w:t>
      </w:r>
    </w:p>
    <w:p>
      <w:pPr>
        <w:pStyle w:val="ListNumber"/>
      </w:pPr>
      <w:r>
        <w:t>Validate checksums, preserve lineage and write immutable audit evidence.</w:t>
      </w:r>
    </w:p>
    <w:p>
      <w:pPr>
        <w:pStyle w:val="Heading1"/>
      </w:pPr>
      <w:r>
        <w:t>20. Operations Control Panel and Observability</w:t>
      </w:r>
    </w:p>
    <w:p>
      <w:r>
        <w:t>The appliance includes a unified operations control panel that presents storage, data-pipe, performance, cooling, connectivity, security and lifecycle information through one operational view. The dashboard should support role-based views for executives, storage operations, cloud operations, security teams and site-reliability engineering.</w:t>
      </w:r>
    </w:p>
    <w:p>
      <w:pPr>
        <w:jc w:val="center"/>
      </w:pPr>
      <w:r>
        <w:drawing>
          <wp:inline xmlns:a="http://schemas.openxmlformats.org/drawingml/2006/main" xmlns:pic="http://schemas.openxmlformats.org/drawingml/2006/picture">
            <wp:extent cx="6309360" cy="3550902"/>
            <wp:docPr id="4" name="Picture 4"/>
            <wp:cNvGraphicFramePr>
              <a:graphicFrameLocks noChangeAspect="1"/>
            </wp:cNvGraphicFramePr>
            <a:graphic>
              <a:graphicData uri="http://schemas.openxmlformats.org/drawingml/2006/picture">
                <pic:pic>
                  <pic:nvPicPr>
                    <pic:cNvPr id="0" name="neuralmesh_operations_control_panel.png"/>
                    <pic:cNvPicPr/>
                  </pic:nvPicPr>
                  <pic:blipFill>
                    <a:blip r:embed="rId14"/>
                    <a:stretch>
                      <a:fillRect/>
                    </a:stretch>
                  </pic:blipFill>
                  <pic:spPr>
                    <a:xfrm>
                      <a:off x="0" y="0"/>
                      <a:ext cx="6309360" cy="3550902"/>
                    </a:xfrm>
                    <a:prstGeom prst="rect"/>
                  </pic:spPr>
                </pic:pic>
              </a:graphicData>
            </a:graphic>
          </wp:inline>
        </w:drawing>
      </w:r>
    </w:p>
    <w:p>
      <w:pPr>
        <w:jc w:val="center"/>
      </w:pPr>
      <w:r>
        <w:rPr>
          <w:i/>
          <w:sz w:val="17"/>
        </w:rPr>
        <w:t>Figure 4. Conceptual operations control panel for storage, performance, cooling, security and cloud connectivity.</w:t>
      </w:r>
    </w:p>
    <w:tbl>
      <w:tblPr>
        <w:tblStyle w:val="TableGrid"/>
        <w:tblW w:type="auto" w:w="0"/>
        <w:jc w:val="center"/>
        <w:tblLook w:firstColumn="1" w:firstRow="1" w:lastColumn="0" w:lastRow="0" w:noHBand="0" w:noVBand="1" w:val="04A0"/>
      </w:tblPr>
      <w:tblGrid>
        <w:gridCol w:w="5112"/>
        <w:gridCol w:w="5112"/>
      </w:tblGrid>
      <w:tr>
        <w:tc>
          <w:tcPr>
            <w:tcW w:type="dxa" w:w="2448"/>
            <w:vAlign w:val="center"/>
            <w:shd w:fill="1F4E79"/>
          </w:tcPr>
          <w:p>
            <w:pPr>
              <w:spacing w:after="0"/>
            </w:pPr>
            <w:r/>
            <w:r>
              <w:rPr>
                <w:b/>
                <w:color w:val="FFFFFF"/>
                <w:sz w:val="19"/>
              </w:rPr>
              <w:t>Dashboard Domain</w:t>
            </w:r>
          </w:p>
        </w:tc>
        <w:tc>
          <w:tcPr>
            <w:tcW w:type="dxa" w:w="7632"/>
            <w:vAlign w:val="center"/>
            <w:shd w:fill="1F4E79"/>
          </w:tcPr>
          <w:p>
            <w:pPr>
              <w:spacing w:after="0"/>
            </w:pPr>
            <w:r/>
            <w:r>
              <w:rPr>
                <w:b/>
                <w:color w:val="FFFFFF"/>
                <w:sz w:val="19"/>
              </w:rPr>
              <w:t>Representative Metrics and Controls</w:t>
            </w:r>
          </w:p>
        </w:tc>
      </w:tr>
      <w:tr>
        <w:tc>
          <w:tcPr>
            <w:tcW w:type="dxa" w:w="2448"/>
            <w:vAlign w:val="center"/>
          </w:tcPr>
          <w:p>
            <w:pPr>
              <w:spacing w:after="0"/>
            </w:pPr>
            <w:r/>
            <w:r>
              <w:rPr>
                <w:b w:val="0"/>
                <w:sz w:val="18"/>
              </w:rPr>
              <w:t>Capacity</w:t>
            </w:r>
          </w:p>
        </w:tc>
        <w:tc>
          <w:tcPr>
            <w:tcW w:type="dxa" w:w="7632"/>
            <w:vAlign w:val="center"/>
          </w:tcPr>
          <w:p>
            <w:pPr>
              <w:spacing w:after="0"/>
            </w:pPr>
            <w:r/>
            <w:r>
              <w:rPr>
                <w:b w:val="0"/>
                <w:sz w:val="18"/>
              </w:rPr>
              <w:t>Raw, usable and effective capacity; utilization by tier; reduction ratio; forecasted exhaustion</w:t>
            </w:r>
          </w:p>
        </w:tc>
      </w:tr>
      <w:tr>
        <w:tc>
          <w:tcPr>
            <w:tcW w:type="dxa" w:w="2448"/>
            <w:vAlign w:val="center"/>
            <w:shd w:fill="E7EBF0"/>
          </w:tcPr>
          <w:p>
            <w:pPr>
              <w:spacing w:after="0"/>
            </w:pPr>
            <w:r/>
            <w:r>
              <w:rPr>
                <w:b w:val="0"/>
                <w:sz w:val="18"/>
              </w:rPr>
              <w:t>Performance</w:t>
            </w:r>
          </w:p>
        </w:tc>
        <w:tc>
          <w:tcPr>
            <w:tcW w:type="dxa" w:w="7632"/>
            <w:vAlign w:val="center"/>
            <w:shd w:fill="E7EBF0"/>
          </w:tcPr>
          <w:p>
            <w:pPr>
              <w:spacing w:after="0"/>
            </w:pPr>
            <w:r/>
            <w:r>
              <w:rPr>
                <w:b w:val="0"/>
                <w:sz w:val="18"/>
              </w:rPr>
              <w:t>Aggregate throughput, read/write IOPS, p50/p95/p99 latency, queue depth, cache hit rate and metadata latency</w:t>
            </w:r>
          </w:p>
        </w:tc>
      </w:tr>
      <w:tr>
        <w:tc>
          <w:tcPr>
            <w:tcW w:type="dxa" w:w="2448"/>
            <w:vAlign w:val="center"/>
          </w:tcPr>
          <w:p>
            <w:pPr>
              <w:spacing w:after="0"/>
            </w:pPr>
            <w:r/>
            <w:r>
              <w:rPr>
                <w:b w:val="0"/>
                <w:sz w:val="18"/>
              </w:rPr>
              <w:t>Data pipes</w:t>
            </w:r>
          </w:p>
        </w:tc>
        <w:tc>
          <w:tcPr>
            <w:tcW w:type="dxa" w:w="7632"/>
            <w:vAlign w:val="center"/>
          </w:tcPr>
          <w:p>
            <w:pPr>
              <w:spacing w:after="0"/>
            </w:pPr>
            <w:r/>
            <w:r>
              <w:rPr>
                <w:b w:val="0"/>
                <w:sz w:val="18"/>
              </w:rPr>
              <w:t>Per-fabric, per-node and per-client bandwidth; cloud ingress/egress; packet loss and congestion</w:t>
            </w:r>
          </w:p>
        </w:tc>
      </w:tr>
      <w:tr>
        <w:tc>
          <w:tcPr>
            <w:tcW w:type="dxa" w:w="2448"/>
            <w:vAlign w:val="center"/>
            <w:shd w:fill="E7EBF0"/>
          </w:tcPr>
          <w:p>
            <w:pPr>
              <w:spacing w:after="0"/>
            </w:pPr>
            <w:r/>
            <w:r>
              <w:rPr>
                <w:b w:val="0"/>
                <w:sz w:val="18"/>
              </w:rPr>
              <w:t>Cooling</w:t>
            </w:r>
          </w:p>
        </w:tc>
        <w:tc>
          <w:tcPr>
            <w:tcW w:type="dxa" w:w="7632"/>
            <w:vAlign w:val="center"/>
            <w:shd w:fill="E7EBF0"/>
          </w:tcPr>
          <w:p>
            <w:pPr>
              <w:spacing w:after="0"/>
            </w:pPr>
            <w:r/>
            <w:r>
              <w:rPr>
                <w:b w:val="0"/>
                <w:sz w:val="18"/>
              </w:rPr>
              <w:t>Inlet, outlet, SSD, CPU, NIC and coolant temperatures; flow, pressure, dew-point margin and thermal map</w:t>
            </w:r>
          </w:p>
        </w:tc>
      </w:tr>
      <w:tr>
        <w:tc>
          <w:tcPr>
            <w:tcW w:type="dxa" w:w="2448"/>
            <w:vAlign w:val="center"/>
          </w:tcPr>
          <w:p>
            <w:pPr>
              <w:spacing w:after="0"/>
            </w:pPr>
            <w:r/>
            <w:r>
              <w:rPr>
                <w:b w:val="0"/>
                <w:sz w:val="18"/>
              </w:rPr>
              <w:t>Connections</w:t>
            </w:r>
          </w:p>
        </w:tc>
        <w:tc>
          <w:tcPr>
            <w:tcW w:type="dxa" w:w="7632"/>
            <w:vAlign w:val="center"/>
          </w:tcPr>
          <w:p>
            <w:pPr>
              <w:spacing w:after="0"/>
            </w:pPr>
            <w:r/>
            <w:r>
              <w:rPr>
                <w:b w:val="0"/>
                <w:sz w:val="18"/>
              </w:rPr>
              <w:t>Concurrent users, applications, agents, protocols, sessions and top talkers</w:t>
            </w:r>
          </w:p>
        </w:tc>
      </w:tr>
      <w:tr>
        <w:tc>
          <w:tcPr>
            <w:tcW w:type="dxa" w:w="2448"/>
            <w:vAlign w:val="center"/>
            <w:shd w:fill="E7EBF0"/>
          </w:tcPr>
          <w:p>
            <w:pPr>
              <w:spacing w:after="0"/>
            </w:pPr>
            <w:r/>
            <w:r>
              <w:rPr>
                <w:b w:val="0"/>
                <w:sz w:val="18"/>
              </w:rPr>
              <w:t>Security</w:t>
            </w:r>
          </w:p>
        </w:tc>
        <w:tc>
          <w:tcPr>
            <w:tcW w:type="dxa" w:w="7632"/>
            <w:vAlign w:val="center"/>
            <w:shd w:fill="E7EBF0"/>
          </w:tcPr>
          <w:p>
            <w:pPr>
              <w:spacing w:after="0"/>
            </w:pPr>
            <w:r/>
            <w:r>
              <w:rPr>
                <w:b w:val="0"/>
                <w:sz w:val="18"/>
              </w:rPr>
              <w:t>Vulnerabilities, access denials, MFA state, anomalies, encryption state, firmware compliance and audit health</w:t>
            </w:r>
          </w:p>
        </w:tc>
      </w:tr>
      <w:tr>
        <w:tc>
          <w:tcPr>
            <w:tcW w:type="dxa" w:w="2448"/>
            <w:vAlign w:val="center"/>
          </w:tcPr>
          <w:p>
            <w:pPr>
              <w:spacing w:after="0"/>
            </w:pPr>
            <w:r/>
            <w:r>
              <w:rPr>
                <w:b w:val="0"/>
                <w:sz w:val="18"/>
              </w:rPr>
              <w:t>Cloud connectivity</w:t>
            </w:r>
          </w:p>
        </w:tc>
        <w:tc>
          <w:tcPr>
            <w:tcW w:type="dxa" w:w="7632"/>
            <w:vAlign w:val="center"/>
          </w:tcPr>
          <w:p>
            <w:pPr>
              <w:spacing w:after="0"/>
            </w:pPr>
            <w:r/>
            <w:r>
              <w:rPr>
                <w:b w:val="0"/>
                <w:sz w:val="18"/>
              </w:rPr>
              <w:t>Azure, AWS, GCP and private-object connections, destination status, transfer jobs and policy exceptions</w:t>
            </w:r>
          </w:p>
        </w:tc>
      </w:tr>
      <w:tr>
        <w:tc>
          <w:tcPr>
            <w:tcW w:type="dxa" w:w="2448"/>
            <w:vAlign w:val="center"/>
            <w:shd w:fill="E7EBF0"/>
          </w:tcPr>
          <w:p>
            <w:pPr>
              <w:spacing w:after="0"/>
            </w:pPr>
            <w:r/>
            <w:r>
              <w:rPr>
                <w:b w:val="0"/>
                <w:sz w:val="18"/>
              </w:rPr>
              <w:t>Reliability</w:t>
            </w:r>
          </w:p>
        </w:tc>
        <w:tc>
          <w:tcPr>
            <w:tcW w:type="dxa" w:w="7632"/>
            <w:vAlign w:val="center"/>
            <w:shd w:fill="E7EBF0"/>
          </w:tcPr>
          <w:p>
            <w:pPr>
              <w:spacing w:after="0"/>
            </w:pPr>
            <w:r/>
            <w:r>
              <w:rPr>
                <w:b w:val="0"/>
                <w:sz w:val="18"/>
              </w:rPr>
              <w:t>Node, SSD, switch, PSU, fan and controller health; rebuild state; replication lag and active alerts</w:t>
            </w:r>
          </w:p>
        </w:tc>
      </w:tr>
    </w:tbl>
    <w:p/>
    <w:p>
      <w:pPr>
        <w:pStyle w:val="Heading2"/>
      </w:pPr>
      <w:r>
        <w:t>20.1 Control-Loop Automation</w:t>
      </w:r>
    </w:p>
    <w:p>
      <w:pPr>
        <w:pStyle w:val="ListBullet"/>
      </w:pPr>
      <w:r>
        <w:t>Correlate performance, thermal and security telemetry before taking automated action.</w:t>
      </w:r>
    </w:p>
    <w:p>
      <w:pPr>
        <w:pStyle w:val="ListBullet"/>
      </w:pPr>
      <w:r>
        <w:t>Apply bounded remediation such as queue tuning, workload relocation, coolant-flow adjustment and cloud-transfer throttling.</w:t>
      </w:r>
    </w:p>
    <w:p>
      <w:pPr>
        <w:pStyle w:val="ListBullet"/>
      </w:pPr>
      <w:r>
        <w:t>Require human approval for actions that affect regulated data, retention, encryption keys or destructive recovery operations.</w:t>
      </w:r>
    </w:p>
    <w:p>
      <w:pPr>
        <w:pStyle w:val="ListBullet"/>
      </w:pPr>
      <w:r>
        <w:t>Record every automated decision, contributing signal, policy and outcome in immutable audit evidence.</w:t>
      </w:r>
    </w:p>
    <w:p>
      <w:pPr>
        <w:pStyle w:val="Heading1"/>
      </w:pPr>
      <w:r>
        <w:t>21. Investor Thesis and Differentiated Value</w:t>
      </w:r>
    </w:p>
    <w:p>
      <w:r>
        <w:t>NeuralMesh G4 should be positioned as an integrated AI data infrastructure platform rather than a conventional storage array. Its investment proposition is based on the convergence of AI infrastructure demand, data sovereignty, private cloud adoption, security regulation and the need to sustain high GPU utilization.</w:t>
      </w:r>
    </w:p>
    <w:tbl>
      <w:tblPr>
        <w:tblStyle w:val="TableGrid"/>
        <w:tblW w:type="auto" w:w="0"/>
        <w:jc w:val="center"/>
        <w:tblLook w:firstColumn="1" w:firstRow="1" w:lastColumn="0" w:lastRow="0" w:noHBand="0" w:noVBand="1" w:val="04A0"/>
      </w:tblPr>
      <w:tblGrid>
        <w:gridCol w:w="5112"/>
        <w:gridCol w:w="5112"/>
      </w:tblGrid>
      <w:tr>
        <w:tc>
          <w:tcPr>
            <w:tcW w:type="dxa" w:w="3168"/>
            <w:vAlign w:val="center"/>
            <w:shd w:fill="1F4E79"/>
          </w:tcPr>
          <w:p>
            <w:pPr>
              <w:spacing w:after="0"/>
            </w:pPr>
            <w:r/>
            <w:r>
              <w:rPr>
                <w:b/>
                <w:color w:val="FFFFFF"/>
                <w:sz w:val="19"/>
              </w:rPr>
              <w:t>Differentiator</w:t>
            </w:r>
          </w:p>
        </w:tc>
        <w:tc>
          <w:tcPr>
            <w:tcW w:type="dxa" w:w="6912"/>
            <w:vAlign w:val="center"/>
            <w:shd w:fill="1F4E79"/>
          </w:tcPr>
          <w:p>
            <w:pPr>
              <w:spacing w:after="0"/>
            </w:pPr>
            <w:r/>
            <w:r>
              <w:rPr>
                <w:b/>
                <w:color w:val="FFFFFF"/>
                <w:sz w:val="19"/>
              </w:rPr>
              <w:t>Why It Matters</w:t>
            </w:r>
          </w:p>
        </w:tc>
      </w:tr>
      <w:tr>
        <w:tc>
          <w:tcPr>
            <w:tcW w:type="dxa" w:w="3168"/>
            <w:vAlign w:val="center"/>
          </w:tcPr>
          <w:p>
            <w:pPr>
              <w:spacing w:after="0"/>
            </w:pPr>
            <w:r/>
            <w:r>
              <w:rPr>
                <w:b w:val="0"/>
                <w:sz w:val="18"/>
              </w:rPr>
              <w:t>Storage and security as one architecture</w:t>
            </w:r>
          </w:p>
        </w:tc>
        <w:tc>
          <w:tcPr>
            <w:tcW w:type="dxa" w:w="6912"/>
            <w:vAlign w:val="center"/>
          </w:tcPr>
          <w:p>
            <w:pPr>
              <w:spacing w:after="0"/>
            </w:pPr>
            <w:r/>
            <w:r>
              <w:rPr>
                <w:b w:val="0"/>
                <w:sz w:val="18"/>
              </w:rPr>
              <w:t>Protection, representation, policy and audit are embedded in the data path rather than bolted on as separate tools.</w:t>
            </w:r>
          </w:p>
        </w:tc>
      </w:tr>
      <w:tr>
        <w:tc>
          <w:tcPr>
            <w:tcW w:type="dxa" w:w="3168"/>
            <w:vAlign w:val="center"/>
            <w:shd w:fill="E7EBF0"/>
          </w:tcPr>
          <w:p>
            <w:pPr>
              <w:spacing w:after="0"/>
            </w:pPr>
            <w:r/>
            <w:r>
              <w:rPr>
                <w:b w:val="0"/>
                <w:sz w:val="18"/>
              </w:rPr>
              <w:t>Sovereign private AI cloud foundation</w:t>
            </w:r>
          </w:p>
        </w:tc>
        <w:tc>
          <w:tcPr>
            <w:tcW w:type="dxa" w:w="6912"/>
            <w:vAlign w:val="center"/>
            <w:shd w:fill="E7EBF0"/>
          </w:tcPr>
          <w:p>
            <w:pPr>
              <w:spacing w:after="0"/>
            </w:pPr>
            <w:r/>
            <w:r>
              <w:rPr>
                <w:b w:val="0"/>
                <w:sz w:val="18"/>
              </w:rPr>
              <w:t>Organizations can retain ownership of data, models, policies and keys while delivering cloud-like AI services.</w:t>
            </w:r>
          </w:p>
        </w:tc>
      </w:tr>
      <w:tr>
        <w:tc>
          <w:tcPr>
            <w:tcW w:type="dxa" w:w="3168"/>
            <w:vAlign w:val="center"/>
          </w:tcPr>
          <w:p>
            <w:pPr>
              <w:spacing w:after="0"/>
            </w:pPr>
            <w:r/>
            <w:r>
              <w:rPr>
                <w:b w:val="0"/>
                <w:sz w:val="18"/>
              </w:rPr>
              <w:t>Double-layer thermal design</w:t>
            </w:r>
          </w:p>
        </w:tc>
        <w:tc>
          <w:tcPr>
            <w:tcW w:type="dxa" w:w="6912"/>
            <w:vAlign w:val="center"/>
          </w:tcPr>
          <w:p>
            <w:pPr>
              <w:spacing w:after="0"/>
            </w:pPr>
            <w:r/>
            <w:r>
              <w:rPr>
                <w:b w:val="0"/>
                <w:sz w:val="18"/>
              </w:rPr>
              <w:t>The coolant jacket, direct-to-chip cooling and rear-door heat capture support sustained dense operation and serviceability.</w:t>
            </w:r>
          </w:p>
        </w:tc>
      </w:tr>
      <w:tr>
        <w:tc>
          <w:tcPr>
            <w:tcW w:type="dxa" w:w="3168"/>
            <w:vAlign w:val="center"/>
            <w:shd w:fill="E7EBF0"/>
          </w:tcPr>
          <w:p>
            <w:pPr>
              <w:spacing w:after="0"/>
            </w:pPr>
            <w:r/>
            <w:r>
              <w:rPr>
                <w:b w:val="0"/>
                <w:sz w:val="18"/>
              </w:rPr>
              <w:t>Meshed NVMe flash and adaptive data paths</w:t>
            </w:r>
          </w:p>
        </w:tc>
        <w:tc>
          <w:tcPr>
            <w:tcW w:type="dxa" w:w="6912"/>
            <w:vAlign w:val="center"/>
            <w:shd w:fill="E7EBF0"/>
          </w:tcPr>
          <w:p>
            <w:pPr>
              <w:spacing w:after="0"/>
            </w:pPr>
            <w:r/>
            <w:r>
              <w:rPr>
                <w:b w:val="0"/>
                <w:sz w:val="18"/>
              </w:rPr>
              <w:t>Parallel PCIe, flash-bank and network design targets extreme throughput and massive random-read performance.</w:t>
            </w:r>
          </w:p>
        </w:tc>
      </w:tr>
      <w:tr>
        <w:tc>
          <w:tcPr>
            <w:tcW w:type="dxa" w:w="3168"/>
            <w:vAlign w:val="center"/>
          </w:tcPr>
          <w:p>
            <w:pPr>
              <w:spacing w:after="0"/>
            </w:pPr>
            <w:r/>
            <w:r>
              <w:rPr>
                <w:b w:val="0"/>
                <w:sz w:val="18"/>
              </w:rPr>
              <w:t>Algorithmic capacity and performance optimization</w:t>
            </w:r>
          </w:p>
        </w:tc>
        <w:tc>
          <w:tcPr>
            <w:tcW w:type="dxa" w:w="6912"/>
            <w:vAlign w:val="center"/>
          </w:tcPr>
          <w:p>
            <w:pPr>
              <w:spacing w:after="0"/>
            </w:pPr>
            <w:r/>
            <w:r>
              <w:rPr>
                <w:b w:val="0"/>
                <w:sz w:val="18"/>
              </w:rPr>
              <w:t>Adaptive striping, predictive cache, compression, deduplication and delta checkpointing create a differentiated software value layer.</w:t>
            </w:r>
          </w:p>
        </w:tc>
      </w:tr>
      <w:tr>
        <w:tc>
          <w:tcPr>
            <w:tcW w:type="dxa" w:w="3168"/>
            <w:vAlign w:val="center"/>
            <w:shd w:fill="E7EBF0"/>
          </w:tcPr>
          <w:p>
            <w:pPr>
              <w:spacing w:after="0"/>
            </w:pPr>
            <w:r/>
            <w:r>
              <w:rPr>
                <w:b w:val="0"/>
                <w:sz w:val="18"/>
              </w:rPr>
              <w:t>Hybrid-cloud governance</w:t>
            </w:r>
          </w:p>
        </w:tc>
        <w:tc>
          <w:tcPr>
            <w:tcW w:type="dxa" w:w="6912"/>
            <w:vAlign w:val="center"/>
            <w:shd w:fill="E7EBF0"/>
          </w:tcPr>
          <w:p>
            <w:pPr>
              <w:spacing w:after="0"/>
            </w:pPr>
            <w:r/>
            <w:r>
              <w:rPr>
                <w:b w:val="0"/>
                <w:sz w:val="18"/>
              </w:rPr>
              <w:t>Approved encrypted mobility to Azure, AWS, GCP and private S3 while restricted data remains inside policy boundaries.</w:t>
            </w:r>
          </w:p>
        </w:tc>
      </w:tr>
      <w:tr>
        <w:tc>
          <w:tcPr>
            <w:tcW w:type="dxa" w:w="3168"/>
            <w:vAlign w:val="center"/>
          </w:tcPr>
          <w:p>
            <w:pPr>
              <w:spacing w:after="0"/>
            </w:pPr>
            <w:r/>
            <w:r>
              <w:rPr>
                <w:b w:val="0"/>
                <w:sz w:val="18"/>
              </w:rPr>
              <w:t>Unified operations control</w:t>
            </w:r>
          </w:p>
        </w:tc>
        <w:tc>
          <w:tcPr>
            <w:tcW w:type="dxa" w:w="6912"/>
            <w:vAlign w:val="center"/>
          </w:tcPr>
          <w:p>
            <w:pPr>
              <w:spacing w:after="0"/>
            </w:pPr>
            <w:r/>
            <w:r>
              <w:rPr>
                <w:b w:val="0"/>
                <w:sz w:val="18"/>
              </w:rPr>
              <w:t>A single control plane combines storage, cooling, security, connections, vulnerabilities and cloud telemetry.</w:t>
            </w:r>
          </w:p>
        </w:tc>
      </w:tr>
    </w:tbl>
    <w:p/>
    <w:p>
      <w:pPr>
        <w:pStyle w:val="Heading2"/>
      </w:pPr>
      <w:r>
        <w:t>21.1 Why Invest</w:t>
      </w:r>
    </w:p>
    <w:p>
      <w:pPr>
        <w:pStyle w:val="ListBullet"/>
      </w:pPr>
      <w:r>
        <w:t>AI infrastructure spending increasingly depends on removing data bottlenecks that leave expensive accelerators underutilized.</w:t>
      </w:r>
    </w:p>
    <w:p>
      <w:pPr>
        <w:pStyle w:val="ListBullet"/>
      </w:pPr>
      <w:r>
        <w:t>Data privacy, sovereignty and sector regulation are increasing demand for controlled private AI environments.</w:t>
      </w:r>
    </w:p>
    <w:p>
      <w:pPr>
        <w:pStyle w:val="ListBullet"/>
      </w:pPr>
      <w:r>
        <w:t>The platform addresses multiple budgets: high-performance storage, private cloud, security, data governance, analytics infrastructure and cyber resilience.</w:t>
      </w:r>
    </w:p>
    <w:p>
      <w:pPr>
        <w:pStyle w:val="ListBullet"/>
      </w:pPr>
      <w:r>
        <w:t>The architecture offers recurring software, support, lifecycle, cloud-integration and managed-service revenue opportunities beyond hardware sales.</w:t>
      </w:r>
    </w:p>
    <w:p>
      <w:pPr>
        <w:pStyle w:val="ListBullet"/>
      </w:pPr>
      <w:r>
        <w:t>The design is modular, allowing enterprise, AI-factory and exabyte-scale product configurations from a common architecture.</w:t>
      </w:r>
    </w:p>
    <w:p>
      <w:pPr>
        <w:pStyle w:val="ListBullet"/>
      </w:pPr>
      <w:r>
        <w:t>Performance, security and cooling intellectual property can create defensible differentiation if validated, patented where appropriate and implemented through production-quality software.</w:t>
      </w:r>
    </w:p>
    <w:p>
      <w:pPr>
        <w:pStyle w:val="Heading2"/>
      </w:pPr>
      <w:r>
        <w:t>21.2 Investor Qualification Requirements</w:t>
      </w:r>
    </w:p>
    <w:p>
      <w:r>
        <w:t>The investment case must be supported by independently validated performance testing, a manufacturable bill of materials, thermal and power qualification, supply-chain agreements, software ownership or licensing clarity, security certification plans, customer design partnerships and a realistic route from reference architecture to production appliance.</w:t>
      </w:r>
    </w:p>
    <w:p>
      <w:pPr>
        <w:pStyle w:val="Heading1"/>
      </w:pPr>
      <w:r>
        <w:t>22. Product Identity and Strategic Philosophy</w:t>
      </w:r>
    </w:p>
    <w:p>
      <w:r>
        <w:t>Product name: NeuralMesh G4. Positioning: fourth-generation AI storage appliance and intelligent data core for sovereign AI infrastructure.</w:t>
      </w:r>
    </w:p>
    <w:p>
      <w:pPr>
        <w:jc w:val="center"/>
      </w:pPr>
      <w:r>
        <w:rPr>
          <w:b/>
          <w:i/>
          <w:color w:val="1F4E79"/>
          <w:sz w:val="28"/>
        </w:rPr>
        <w:t>“Storage and security are not two separate systems. They are one intelligent foundation for trusted AI.”</w:t>
      </w:r>
    </w:p>
    <w:p>
      <w:pPr>
        <w:jc w:val="center"/>
      </w:pPr>
      <w:r>
        <w:rPr>
          <w:b/>
          <w:sz w:val="24"/>
        </w:rPr>
        <w:t>NeuralMesh G4 — A brainchild of Ramesh Valluri.</w:t>
      </w:r>
    </w:p>
    <w:p>
      <w:pPr>
        <w:jc w:val="center"/>
      </w:pPr>
      <w:r>
        <w:rPr>
          <w:b/>
          <w:color w:val="2F6B7C"/>
          <w:sz w:val="26"/>
        </w:rPr>
        <w:t>Storage and Security, Engineered as One.</w:t>
      </w:r>
    </w:p>
    <w:p>
      <w:pPr>
        <w:pStyle w:val="Heading1"/>
      </w:pPr>
      <w:r>
        <w:t>Updated Consolidated Engineering Position</w:t>
      </w:r>
    </w:p>
    <w:p>
      <w:r>
        <w:t>NeuralMesh G4 combines a rack-scale meshed NVMe data fabric, dual AI Ethernet networks, PCIe locality, multi-layer cooling, zero-trust protection, private AI cloud services, secure hybrid-cloud interoperability and algorithmic optimization. It is intended to operate as the central data brain for AI training, inference, RAG, analytics and agentic workloads while preserving sovereignty and policy control. Baseline claims remain 10.2+ TB/s aggregate throughput, up to 300 million 4 KB random-read IOPS and up to 1.1 EB effective capacity per rack; higher figures remain qualification-stage engineering targets.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3"/>
        <w:sz w:val="16"/>
      </w:rPr>
      <w:t>Fourth-Generation AI Storage Appliance | Consolidated Reference Design |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5A646E"/>
        <w:sz w:val="16"/>
      </w:rPr>
      <w:t>AI STORAGE APPLIANCE | REFERENCE ARCHITECTURE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F6B7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Fourth-Generation AI Storage Appliance Architecture - Consolidated Reference Design</dc:title>
  <dc:subject>Architecture, chassis, cooling, flash placement, security, build and performance qualification</dc:subject>
  <dc:creator>Ramesh Valluri</dc:creator>
  <cp:keywords>AI storage, NVMe, flash mesh, Spectrum-X, PCIe, cooling, 10.2 TB/s, 300M IOPS</cp:keywords>
  <dc:description>generated by python-docx</dc:description>
  <cp:lastModifiedBy/>
  <cp:revision>1</cp:revision>
  <dcterms:created xsi:type="dcterms:W3CDTF">2013-12-23T23:15:00Z</dcterms:created>
  <dcterms:modified xsi:type="dcterms:W3CDTF">2013-12-23T23:15:00Z</dcterms:modified>
  <cp:category/>
</cp:coreProperties>
</file>